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宋体" w:hAnsi="宋体" w:eastAsia="宋体" w:cs="宋体"/>
          <w:b/>
          <w:bCs/>
          <w:sz w:val="44"/>
          <w:szCs w:val="44"/>
          <w:lang w:val="en-US" w:eastAsia="zh-CN"/>
        </w:rPr>
      </w:pPr>
      <w:r>
        <w:rPr>
          <w:sz w:val="44"/>
        </w:rPr>
        <mc:AlternateContent>
          <mc:Choice Requires="wps">
            <w:drawing>
              <wp:anchor distT="0" distB="0" distL="114300" distR="114300" simplePos="0" relativeHeight="251666432" behindDoc="0" locked="0" layoutInCell="1" allowOverlap="1">
                <wp:simplePos x="0" y="0"/>
                <wp:positionH relativeFrom="column">
                  <wp:posOffset>128270</wp:posOffset>
                </wp:positionH>
                <wp:positionV relativeFrom="paragraph">
                  <wp:posOffset>-259715</wp:posOffset>
                </wp:positionV>
                <wp:extent cx="914400" cy="36195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eastAsia="zh-CN"/>
                              </w:rPr>
                              <w:t>附件</w:t>
                            </w:r>
                            <w:r>
                              <w:rPr>
                                <w:rFonts w:hint="eastAsia"/>
                                <w:lang w:val="en-US" w:eastAsia="zh-CN"/>
                              </w:rPr>
                              <w:t>2</w:t>
                            </w:r>
                          </w:p>
                        </w:txbxContent>
                      </wps:txbx>
                      <wps:bodyPr upright="1"/>
                    </wps:wsp>
                  </a:graphicData>
                </a:graphic>
              </wp:anchor>
            </w:drawing>
          </mc:Choice>
          <mc:Fallback>
            <w:pict>
              <v:shape id="_x0000_s1026" o:spid="_x0000_s1026" o:spt="202" type="#_x0000_t202" style="position:absolute;left:0pt;margin-left:10.1pt;margin-top:-20.45pt;height:28.5pt;width:72pt;z-index:251666432;mso-width-relative:page;mso-height-relative:page;" fillcolor="#FFFFFF" filled="t" stroked="t" coordsize="21600,21600" o:gfxdata="UEsDBAoAAAAAAIdO4kAAAAAAAAAAAAAAAAAEAAAAZHJzL1BLAwQUAAAACACHTuJAIuOAGNYAAAAJ&#10;AQAADwAAAGRycy9kb3ducmV2LnhtbE2PTU/DMAyG70j8h8hIXNCWNJomKHUnNIE4b3DhljVeW9E4&#10;bZOtG7+e9AQ3fzx6/bjYXFwnzjSG1jNCtlQgiCtvW64RPj/eFo8gQjRsTeeZEK4UYFPe3hQmt37i&#10;HZ33sRYphENuEJoY+1zKUDXkTFj6njjtjn50JqZ2rKUdzZTCXSe1UmvpTMvpQmN62jZUfe9PDsFP&#10;r1fnaVD64evHvW9fht1RD4j3d5l6BhHpEv9gmPWTOpTJ6eBPbIPoELTSiURYrNQTiBlYr9LkMBcZ&#10;yLKQ/z8ofwFQSwMEFAAAAAgAh07iQNfHga/sAQAA5wMAAA4AAABkcnMvZTJvRG9jLnhtbK1TS44T&#10;MRDdI3EHy3vS3WEyYlrpjAQhbBAgDRyg4k+3Jf9ke9KdC8ANWLFhz7lyDspOyHzYjBC9cJdd5Vev&#10;XpWX15PRZCdCVM52tJnVlAjLHFe27+iXz5sXryiJCSwH7azo6F5Eer16/mw5+lbM3eA0F4EgiI3t&#10;6Ds6pOTbqopsEAbizHlh0SldMJBwG/qKBxgR3ehqXteX1egC98ExESOero9Ouir4UgqWPkoZRSK6&#10;o8gtlTWUdZvXarWEtg/gB8VONOAfWBhQFpOeodaQgNwG9ReUUSy46GSaMWcqJ6ViotSA1TT1o2pu&#10;BvCi1ILiRH+WKf4/WPZh9ykQxbF3lFgw2KLD92+HH78OP7+SJssz+thi1I3HuDS9dlMOPZ1HPMxV&#10;TzKY/Md6CPpR6P1ZXDElwvDwqrm4qNHD0PXysrlaFPGru8s+xPROOEOy0dGAvSuSwu59TJgQQ/+E&#10;5FzRacU3SuuyCf32jQ5kB9jnTfkyR7zyIExbMiKTxXyBPADHTWpIaBqPAkTbl3wPbsSnAWdia4jD&#10;kUBBOI6WUUkEZALtIIC/tZykvUeRLb4GmskYwSnRAh9PtkpkAqWfEonVaYtF5g4dO5GtNG0nhMnm&#10;1vE9du3WB9UPKGnpWwnHaSrqnCY/j+v9fQG9e5+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Lj&#10;gBjWAAAACQEAAA8AAAAAAAAAAQAgAAAAIgAAAGRycy9kb3ducmV2LnhtbFBLAQIUABQAAAAIAIdO&#10;4kDXx4Gv7AEAAOcDAAAOAAAAAAAAAAEAIAAAACUBAABkcnMvZTJvRG9jLnhtbFBLBQYAAAAABgAG&#10;AFkBAACDBQAAAAA=&#10;">
                <v:fill on="t" focussize="0,0"/>
                <v:stroke color="#FFFFFF" joinstyle="miter"/>
                <v:imagedata o:title=""/>
                <o:lock v:ext="edit" aspectratio="f"/>
                <v:textbox>
                  <w:txbxContent>
                    <w:p>
                      <w:pPr>
                        <w:rPr>
                          <w:rFonts w:hint="eastAsia" w:eastAsia="宋体"/>
                          <w:lang w:val="en-US" w:eastAsia="zh-CN"/>
                        </w:rPr>
                      </w:pPr>
                      <w:r>
                        <w:rPr>
                          <w:rFonts w:hint="eastAsia"/>
                          <w:lang w:eastAsia="zh-CN"/>
                        </w:rPr>
                        <w:t>附件</w:t>
                      </w:r>
                      <w:r>
                        <w:rPr>
                          <w:rFonts w:hint="eastAsia"/>
                          <w:lang w:val="en-US" w:eastAsia="zh-CN"/>
                        </w:rPr>
                        <w:t>2</w:t>
                      </w:r>
                    </w:p>
                  </w:txbxContent>
                </v:textbox>
              </v:shape>
            </w:pict>
          </mc:Fallback>
        </mc:AlternateContent>
      </w:r>
      <w:r>
        <w:rPr>
          <w:rFonts w:hint="eastAsia" w:ascii="宋体" w:hAnsi="宋体" w:eastAsia="宋体" w:cs="宋体"/>
          <w:b/>
          <w:bCs/>
          <w:sz w:val="44"/>
          <w:szCs w:val="44"/>
          <w:lang w:val="en-US" w:eastAsia="zh-CN"/>
        </w:rPr>
        <w:t>内蒙古自治区物业管理协会</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宋体" w:hAnsi="宋体" w:eastAsia="宋体" w:cs="宋体"/>
          <w:b/>
          <w:bCs/>
          <w:sz w:val="44"/>
          <w:szCs w:val="44"/>
          <w:lang w:val="en-US" w:eastAsia="zh-CN"/>
        </w:rPr>
        <w:t>会员积分管理办法</w:t>
      </w:r>
    </w:p>
    <w:p>
      <w:pPr>
        <w:rPr>
          <w:rFonts w:hint="eastAsia" w:ascii="仿宋" w:hAnsi="仿宋" w:eastAsia="仿宋" w:cs="仿宋"/>
          <w:sz w:val="18"/>
          <w:szCs w:val="18"/>
          <w:lang w:val="en-US" w:eastAsia="zh-CN"/>
        </w:rPr>
      </w:pPr>
    </w:p>
    <w:p>
      <w:pPr>
        <w:ind w:firstLine="643" w:firstLineChars="200"/>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第一章 总则</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第一条</w:t>
      </w:r>
      <w:r>
        <w:rPr>
          <w:rFonts w:hint="eastAsia" w:ascii="仿宋" w:hAnsi="仿宋" w:eastAsia="仿宋" w:cs="仿宋"/>
          <w:sz w:val="32"/>
          <w:szCs w:val="32"/>
          <w:lang w:val="en-US" w:eastAsia="zh-CN"/>
        </w:rPr>
        <w:t xml:space="preserve"> 为大力推动内蒙古自治区物业管理协会（以下简称“协会”）工作，鼓励会员单位积极参与行业活动和履行社会责任，增强协会的凝聚力和向心力，进一步提升协会的服务能力和服务质量，根据协会章程结合工作实际，制定本办法。</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本办法适用于协会全体会员单位。</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xml:space="preserve"> 积分管理是客观评价会员单位对行业发展的贡献程度，真实记录各会员单位参与和支持协会工作的情况。</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第四条</w:t>
      </w:r>
      <w:r>
        <w:rPr>
          <w:rFonts w:hint="eastAsia" w:ascii="仿宋" w:hAnsi="仿宋" w:eastAsia="仿宋" w:cs="仿宋"/>
          <w:sz w:val="32"/>
          <w:szCs w:val="32"/>
          <w:lang w:val="en-US" w:eastAsia="zh-CN"/>
        </w:rPr>
        <w:t xml:space="preserve"> 积分管理遵循公开公平、客观透明原则。   </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第五条</w:t>
      </w:r>
      <w:r>
        <w:rPr>
          <w:rFonts w:hint="eastAsia" w:ascii="仿宋" w:hAnsi="仿宋" w:eastAsia="仿宋" w:cs="仿宋"/>
          <w:sz w:val="32"/>
          <w:szCs w:val="32"/>
          <w:lang w:val="en-US" w:eastAsia="zh-CN"/>
        </w:rPr>
        <w:t xml:space="preserve"> 会员积分分为季度积分、年度积分、届内积分。会员单位在协会工作中满足积分条件，可获得相应积分。</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第六条 </w:t>
      </w:r>
      <w:r>
        <w:rPr>
          <w:rFonts w:hint="eastAsia" w:ascii="仿宋" w:hAnsi="仿宋" w:eastAsia="仿宋" w:cs="仿宋"/>
          <w:sz w:val="32"/>
          <w:szCs w:val="32"/>
          <w:lang w:val="en-US" w:eastAsia="zh-CN"/>
        </w:rPr>
        <w:t>协会秘书处负责会员单位积分工作的日常记录、统计、公布和应用。</w:t>
      </w:r>
    </w:p>
    <w:p>
      <w:pPr>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会员积分标准和要求</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第七条</w:t>
      </w:r>
      <w:r>
        <w:rPr>
          <w:rFonts w:hint="eastAsia" w:ascii="仿宋" w:hAnsi="仿宋" w:eastAsia="仿宋" w:cs="仿宋"/>
          <w:sz w:val="32"/>
          <w:szCs w:val="32"/>
          <w:lang w:val="en-US" w:eastAsia="zh-CN"/>
        </w:rPr>
        <w:t xml:space="preserve"> 职务积分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1.会长单位记8分；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2.副会长单位记6分；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3.副秘书长单位记4分；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4.常务理事单位记3分；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5.理事单位记2分；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6.会员单位记1分；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职务积分每年第四季度记录一次。</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第八条</w:t>
      </w:r>
      <w:r>
        <w:rPr>
          <w:rFonts w:hint="eastAsia" w:ascii="仿宋" w:hAnsi="仿宋" w:eastAsia="仿宋" w:cs="仿宋"/>
          <w:sz w:val="32"/>
          <w:szCs w:val="32"/>
          <w:lang w:val="en-US" w:eastAsia="zh-CN"/>
        </w:rPr>
        <w:t xml:space="preserve"> 会费积分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1.第一季度足额交纳会费的记5分；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2.第二季度足额交纳会费的记3分；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3.第三季度足额交纳会费的记1分；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4.第四季度交纳不得分；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5.本年度未交纳会费所有积分清零；</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6.提前预交下一年度或者多年度会费的，预交一年额外加5分，两年额外加10分，以此类推，预交会费的额外积分记入本年积分，已预交年份会费积分按5分记录。</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第九条</w:t>
      </w:r>
      <w:r>
        <w:rPr>
          <w:rFonts w:hint="eastAsia" w:ascii="仿宋" w:hAnsi="仿宋" w:eastAsia="仿宋" w:cs="仿宋"/>
          <w:sz w:val="32"/>
          <w:szCs w:val="32"/>
          <w:lang w:val="en-US" w:eastAsia="zh-CN"/>
        </w:rPr>
        <w:t xml:space="preserve"> 会议积分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1.会员代表大会出任人参加会议记5分，派代表参加记3分，未参加扣3分。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2.理事会、常务理事会出任人参加会议记5分，派代表参加记2分，未参加扣2分。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3.会长工作（办公）会会长、副会长出任人参加会议记5分，派代表参加记1分，未参加扣5分。监事或者副秘书长根据会议要求出任人列席会议的记3分，派代表列席会议的记1分，未列席的扣2分。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4.调研会、发布会、座谈会、监事会、专委会会议等其他类型会议出任人参加2分，派代表参加1分，未参加扣1分。</w:t>
      </w:r>
    </w:p>
    <w:p>
      <w:pPr>
        <w:ind w:firstLine="640" w:firstLineChars="200"/>
        <w:rPr>
          <w:rFonts w:hint="eastAsia" w:ascii="仿宋" w:hAnsi="仿宋" w:eastAsia="仿宋" w:cs="仿宋"/>
          <w:color w:val="FF0000"/>
          <w:sz w:val="32"/>
          <w:szCs w:val="32"/>
          <w:lang w:val="en-US" w:eastAsia="zh-CN"/>
        </w:rPr>
      </w:pPr>
      <w:r>
        <w:rPr>
          <w:rFonts w:hint="eastAsia" w:ascii="仿宋" w:hAnsi="仿宋" w:eastAsia="仿宋" w:cs="仿宋"/>
          <w:color w:val="auto"/>
          <w:sz w:val="32"/>
          <w:szCs w:val="32"/>
          <w:lang w:val="en-US" w:eastAsia="zh-CN"/>
        </w:rPr>
        <w:t>5.会议地点距参会单位距离较远且</w:t>
      </w:r>
      <w:r>
        <w:rPr>
          <w:rFonts w:hint="eastAsia" w:ascii="仿宋" w:hAnsi="仿宋" w:eastAsia="仿宋" w:cs="仿宋"/>
          <w:sz w:val="32"/>
          <w:szCs w:val="32"/>
          <w:lang w:val="en-US" w:eastAsia="zh-CN"/>
        </w:rPr>
        <w:t>出任</w:t>
      </w:r>
      <w:r>
        <w:rPr>
          <w:rFonts w:hint="eastAsia" w:ascii="仿宋" w:hAnsi="仿宋" w:eastAsia="仿宋" w:cs="仿宋"/>
          <w:color w:val="auto"/>
          <w:sz w:val="32"/>
          <w:szCs w:val="32"/>
          <w:lang w:val="en-US" w:eastAsia="zh-CN"/>
        </w:rPr>
        <w:t>人参加的各项会议额外加1-3分，派代表参加的额外加1分，距离是否为较远由秘书处工作人员按照实际情况确认。</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第十条</w:t>
      </w:r>
      <w:r>
        <w:rPr>
          <w:rFonts w:hint="eastAsia" w:ascii="仿宋" w:hAnsi="仿宋" w:eastAsia="仿宋" w:cs="仿宋"/>
          <w:sz w:val="32"/>
          <w:szCs w:val="32"/>
          <w:lang w:val="en-US" w:eastAsia="zh-CN"/>
        </w:rPr>
        <w:t xml:space="preserve"> 党建、培训、讲座、论坛、参观、考察、竞赛、文体等活动积分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1.党建活动主动报名参加的每单位记5分；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2.其他公益性活动报名参加的每人每次记0.5分，报名未参加每人每次扣1分；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3.其他非公益性活动报名参加的每人每次记3分；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4.活动</w:t>
      </w:r>
      <w:r>
        <w:rPr>
          <w:rFonts w:hint="eastAsia" w:ascii="仿宋" w:hAnsi="仿宋" w:eastAsia="仿宋" w:cs="仿宋"/>
          <w:color w:val="auto"/>
          <w:sz w:val="32"/>
          <w:szCs w:val="32"/>
          <w:lang w:val="en-US" w:eastAsia="zh-CN"/>
        </w:rPr>
        <w:t>地点距参加单位距离较远的额外加1-3分，距离是否为较远由秘书处工作人员按照实际情况确认。</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第十一条</w:t>
      </w:r>
      <w:r>
        <w:rPr>
          <w:rFonts w:hint="eastAsia" w:ascii="仿宋" w:hAnsi="仿宋" w:eastAsia="仿宋" w:cs="仿宋"/>
          <w:sz w:val="32"/>
          <w:szCs w:val="32"/>
          <w:lang w:val="en-US" w:eastAsia="zh-CN"/>
        </w:rPr>
        <w:t xml:space="preserve"> 工作积分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1.承办或协办协会组织举办的各类会议、活动的会员单位将依据承办、协办具体事项及完成情况给予1-100的加分；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2.承担或参与协会重要课题、各类专题工作计划、报告、规范性文件、教材或实施方案等起草工作的会员单位将依据材料的难度、投入、成果给予1-50的加分；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3.积极为协会工作建言献策并被采纳的会员单位给予5-10的加分；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4.借调工作人员在协会秘书处工作的每人每月记7分；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5.提供参观学习项目场地每个记5分；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6.提供15人以上会议室的每次记3分；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7.提供车辆的每天每车记3分；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8.提供会议或活动工作人员的每人每天记1分；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9.按时完成协会通知要求上报的材料或报表等工作任务的按照材料的难易程度每次记1-3分；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10.积极投稿的每次记1分，被采纳的记2分；</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11.在微信群内为其他会员单位答疑解难的每次记0.5分；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12.成功推荐物业企业入会的会员单位，每推荐一家记10分；</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13.企业负责人（出任人）或联系人成功加入协会微信群的每单位记5分（需会员单位主动联系协会秘书处工作人员记分）；</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14.企业负责人（出任人）或联系人成功关注协会微信公众号的每单位记3分（需会员单位主动联系协会秘书处工作人员确认记分）。</w:t>
      </w:r>
    </w:p>
    <w:p>
      <w:pPr>
        <w:numPr>
          <w:ilvl w:val="0"/>
          <w:numId w:val="0"/>
        </w:numPr>
        <w:ind w:firstLine="643" w:firstLineChars="200"/>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 xml:space="preserve">第十二条 </w:t>
      </w:r>
      <w:r>
        <w:rPr>
          <w:rFonts w:hint="eastAsia" w:ascii="仿宋" w:hAnsi="仿宋" w:eastAsia="仿宋" w:cs="仿宋"/>
          <w:b w:val="0"/>
          <w:bCs w:val="0"/>
          <w:color w:val="auto"/>
          <w:sz w:val="32"/>
          <w:szCs w:val="32"/>
          <w:lang w:val="en-US" w:eastAsia="zh-CN"/>
        </w:rPr>
        <w:t>表彰积分</w:t>
      </w:r>
    </w:p>
    <w:p>
      <w:pPr>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被评为上年度最佳会员单位的企业本年度表彰积分记8分；</w:t>
      </w:r>
    </w:p>
    <w:p>
      <w:pPr>
        <w:numPr>
          <w:ilvl w:val="0"/>
          <w:numId w:val="0"/>
        </w:num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被评为上年度优秀会员单位的企业本年度表彰积分记5分。</w:t>
      </w:r>
    </w:p>
    <w:p>
      <w:pPr>
        <w:numPr>
          <w:ilvl w:val="0"/>
          <w:numId w:val="0"/>
        </w:num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 xml:space="preserve">第十三条 </w:t>
      </w:r>
      <w:r>
        <w:rPr>
          <w:rFonts w:hint="eastAsia" w:ascii="仿宋" w:hAnsi="仿宋" w:eastAsia="仿宋" w:cs="仿宋"/>
          <w:sz w:val="32"/>
          <w:szCs w:val="32"/>
          <w:lang w:val="en-US" w:eastAsia="zh-CN"/>
        </w:rPr>
        <w:t>其他积分</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未列入本办法积分范围内的其他活动，参照本办法相关活动的积分方式，由秘书处给予相应的积分。</w:t>
      </w:r>
    </w:p>
    <w:p>
      <w:pPr>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积分的公示和使用</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第十四条</w:t>
      </w:r>
      <w:r>
        <w:rPr>
          <w:rFonts w:hint="eastAsia" w:ascii="仿宋" w:hAnsi="仿宋" w:eastAsia="仿宋" w:cs="仿宋"/>
          <w:sz w:val="32"/>
          <w:szCs w:val="32"/>
          <w:lang w:val="en-US" w:eastAsia="zh-CN"/>
        </w:rPr>
        <w:t xml:space="preserve"> 积分的公示</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rPr>
        <w:t>1.季度积分每季度发布一次，第一、二、三、四季度积分在本季度后第一周内公示，</w:t>
      </w:r>
      <w:r>
        <w:rPr>
          <w:rFonts w:hint="eastAsia" w:ascii="仿宋" w:hAnsi="仿宋" w:eastAsia="仿宋" w:cs="仿宋"/>
          <w:color w:val="auto"/>
          <w:sz w:val="32"/>
          <w:szCs w:val="32"/>
          <w:lang w:val="en-US" w:eastAsia="zh-CN"/>
        </w:rPr>
        <w:t>第一季度积分为1-3月积分总和，第二季度积分为4-6月积分总和，第三季度积分为7-9月积分总和，第四季度积分为10-12月积分总和；</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2.年度积分在</w:t>
      </w:r>
      <w:r>
        <w:rPr>
          <w:rFonts w:hint="eastAsia" w:ascii="仿宋" w:hAnsi="仿宋" w:eastAsia="仿宋" w:cs="仿宋"/>
          <w:color w:val="auto"/>
          <w:sz w:val="32"/>
          <w:szCs w:val="32"/>
          <w:lang w:val="en-US" w:eastAsia="zh-CN"/>
        </w:rPr>
        <w:t>次年1月份公示，年度积分为本年1-12月积分总和</w:t>
      </w:r>
      <w:r>
        <w:rPr>
          <w:rFonts w:hint="eastAsia" w:ascii="仿宋" w:hAnsi="仿宋" w:eastAsia="仿宋" w:cs="仿宋"/>
          <w:sz w:val="32"/>
          <w:szCs w:val="32"/>
          <w:lang w:val="en-US" w:eastAsia="zh-CN"/>
        </w:rPr>
        <w:t>；</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3.届内积分在</w:t>
      </w:r>
      <w:r>
        <w:rPr>
          <w:rFonts w:hint="eastAsia" w:ascii="仿宋" w:hAnsi="仿宋" w:eastAsia="仿宋" w:cs="仿宋"/>
          <w:color w:val="auto"/>
          <w:sz w:val="32"/>
          <w:szCs w:val="32"/>
          <w:lang w:val="en-US" w:eastAsia="zh-CN"/>
        </w:rPr>
        <w:t>章程规定的换届年度公示，届内积分为本届所有年度积分总和</w:t>
      </w:r>
      <w:r>
        <w:rPr>
          <w:rFonts w:hint="eastAsia" w:ascii="仿宋" w:hAnsi="仿宋" w:eastAsia="仿宋" w:cs="仿宋"/>
          <w:sz w:val="32"/>
          <w:szCs w:val="32"/>
          <w:lang w:val="en-US" w:eastAsia="zh-CN"/>
        </w:rPr>
        <w:t>；</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sz w:val="32"/>
          <w:szCs w:val="32"/>
          <w:lang w:val="en-US" w:eastAsia="zh-CN"/>
        </w:rPr>
        <w:t>4.季度积分、年度积分、届内积分将在协会网站和微信公众号上同时公示，</w:t>
      </w:r>
      <w:r>
        <w:rPr>
          <w:rFonts w:hint="eastAsia" w:ascii="仿宋" w:hAnsi="仿宋" w:eastAsia="仿宋" w:cs="仿宋"/>
          <w:color w:val="auto"/>
          <w:sz w:val="32"/>
          <w:szCs w:val="32"/>
          <w:lang w:val="en-US" w:eastAsia="zh-CN"/>
        </w:rPr>
        <w:t>公示期一周，如公示期内无异议则为最终积分。</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第十五条</w:t>
      </w:r>
      <w:r>
        <w:rPr>
          <w:rFonts w:hint="eastAsia" w:ascii="仿宋" w:hAnsi="仿宋" w:eastAsia="仿宋" w:cs="仿宋"/>
          <w:sz w:val="32"/>
          <w:szCs w:val="32"/>
          <w:lang w:val="en-US" w:eastAsia="zh-CN"/>
        </w:rPr>
        <w:t xml:space="preserve"> 积分的使用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1.季度积分和年度积分使用</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（1）作为年度理事会增补副会长、常务理事、理事，聘任副秘书长的依据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增补副会长单位的积分需在前30名之内（含30名）；聘任副秘书长单位的积分需在前60名之内（含60名）；增补常务理事单位的积分需在前120名之内（含120名）；增补理事单位的积分需在前240名之内（含240名）。</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（2）评选表彰年度最佳会员单位和优秀会员单位的依据</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取积分排名前5-15名（依据会员单位数量基数而定）的会员单位颁发年度最佳会员单位奖；取积分排名前6-35名（依据会员单位数量基数而定）会员单位颁发年度优秀会员单位奖。最佳会员单位和优秀会员单位不重叠表彰。</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（3）积分排名在前100名的企业优先享有以下服务</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优先在协会网站会员风采专栏展示企业logo和风采；优先在刊物、公众号发表署名文章，推送企业信息，展示企业形象，优先参加免费公益活动，收费培训视情况享受优惠。</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届内积分作为换届选举推荐候选理事、常务理事、秘书长、副会长、会长单位和聘任副秘书长单位的主要依据。以上职务推荐的范围将根据换届当年会员单位数量和届内积分排名情况具体确定并在推荐通知内说明。</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3.会员单位有下列行为的，限制积分的使用：受到各级行政主管部门行政处罚的、受到协会通报批评和公开谴责的、未缴纳会费或拖欠会费的、其他违法违规违约违反协会章程等行为。</w:t>
      </w:r>
    </w:p>
    <w:p>
      <w:pPr>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附则</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第十六条</w:t>
      </w:r>
      <w:r>
        <w:rPr>
          <w:rFonts w:hint="eastAsia" w:ascii="仿宋" w:hAnsi="仿宋" w:eastAsia="仿宋" w:cs="仿宋"/>
          <w:sz w:val="32"/>
          <w:szCs w:val="32"/>
          <w:lang w:val="en-US" w:eastAsia="zh-CN"/>
        </w:rPr>
        <w:t xml:space="preserve"> 本办法将根据行业发展情况和实际工作需要由协会适时进行修改。</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第十七条</w:t>
      </w:r>
      <w:r>
        <w:rPr>
          <w:rFonts w:hint="eastAsia" w:ascii="仿宋" w:hAnsi="仿宋" w:eastAsia="仿宋" w:cs="仿宋"/>
          <w:sz w:val="32"/>
          <w:szCs w:val="32"/>
          <w:lang w:val="en-US" w:eastAsia="zh-CN"/>
        </w:rPr>
        <w:t xml:space="preserve"> 本办法由内蒙古自治区物业管理协会负责解释。</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第十八条</w:t>
      </w:r>
      <w:r>
        <w:rPr>
          <w:rFonts w:hint="eastAsia" w:ascii="仿宋" w:hAnsi="仿宋" w:eastAsia="仿宋" w:cs="仿宋"/>
          <w:sz w:val="32"/>
          <w:szCs w:val="32"/>
          <w:lang w:val="en-US" w:eastAsia="zh-CN"/>
        </w:rPr>
        <w:t xml:space="preserve"> 本办法经四届四次理事会审议通过之日起执行。</w:t>
      </w:r>
    </w:p>
    <w:p>
      <w:pPr>
        <w:rPr>
          <w:rFonts w:hint="eastAsia" w:ascii="仿宋" w:hAnsi="仿宋" w:eastAsia="仿宋" w:cs="仿宋"/>
          <w:sz w:val="32"/>
          <w:szCs w:val="32"/>
          <w:lang w:val="en-US" w:eastAsia="zh-CN"/>
        </w:rPr>
      </w:pPr>
    </w:p>
    <w:p>
      <w:pPr>
        <w:numPr>
          <w:ilvl w:val="0"/>
          <w:numId w:val="0"/>
        </w:numPr>
        <w:rPr>
          <w:rFonts w:hint="eastAsia" w:ascii="仿宋" w:hAnsi="仿宋" w:eastAsia="仿宋" w:cs="仿宋"/>
          <w:sz w:val="32"/>
          <w:szCs w:val="32"/>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
    <w:p/>
    <w:p/>
    <w:p/>
    <w:p/>
    <w:p/>
    <w:p/>
    <w:p/>
    <w:p/>
    <w:p/>
    <w:p/>
    <w:p/>
    <w:p/>
    <w:p/>
    <w:p/>
    <w:p/>
    <w:p/>
    <w:p/>
    <w:p/>
    <w:p/>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内蒙古自治区物业管理协会会员积分标准</w:t>
      </w:r>
    </w:p>
    <w:p>
      <w:pPr>
        <w:rPr>
          <w:rFonts w:hint="eastAsia"/>
          <w:lang w:val="en-US" w:eastAsia="zh-CN"/>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380"/>
        <w:gridCol w:w="5220"/>
        <w:gridCol w:w="1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4" w:type="dxa"/>
            <w:noWrap w:val="0"/>
            <w:vAlign w:val="center"/>
          </w:tcPr>
          <w:p>
            <w:pPr>
              <w:jc w:val="center"/>
              <w:rPr>
                <w:rFonts w:hint="eastAsia"/>
                <w:b/>
                <w:bCs/>
                <w:sz w:val="28"/>
                <w:szCs w:val="28"/>
                <w:shd w:val="clear" w:color="auto" w:fill="auto"/>
                <w:vertAlign w:val="baseline"/>
                <w:lang w:val="en-US" w:eastAsia="zh-CN"/>
              </w:rPr>
            </w:pPr>
            <w:r>
              <w:rPr>
                <w:rFonts w:hint="eastAsia"/>
                <w:b/>
                <w:bCs/>
                <w:sz w:val="28"/>
                <w:szCs w:val="28"/>
                <w:shd w:val="clear" w:color="auto" w:fill="auto"/>
                <w:lang w:val="en-US" w:eastAsia="zh-CN"/>
              </w:rPr>
              <w:t>序号</w:t>
            </w:r>
          </w:p>
        </w:tc>
        <w:tc>
          <w:tcPr>
            <w:tcW w:w="1380" w:type="dxa"/>
            <w:noWrap w:val="0"/>
            <w:vAlign w:val="center"/>
          </w:tcPr>
          <w:p>
            <w:pPr>
              <w:jc w:val="center"/>
              <w:rPr>
                <w:rFonts w:hint="eastAsia"/>
                <w:b/>
                <w:bCs/>
                <w:sz w:val="28"/>
                <w:szCs w:val="28"/>
                <w:shd w:val="clear" w:color="auto" w:fill="auto"/>
                <w:vertAlign w:val="baseline"/>
                <w:lang w:val="en-US" w:eastAsia="zh-CN"/>
              </w:rPr>
            </w:pPr>
            <w:r>
              <w:rPr>
                <w:rFonts w:hint="eastAsia"/>
                <w:b/>
                <w:bCs/>
                <w:sz w:val="28"/>
                <w:szCs w:val="28"/>
                <w:shd w:val="clear" w:color="auto" w:fill="auto"/>
                <w:vertAlign w:val="baseline"/>
                <w:lang w:val="en-US" w:eastAsia="zh-CN"/>
              </w:rPr>
              <w:t>积分类别</w:t>
            </w:r>
          </w:p>
        </w:tc>
        <w:tc>
          <w:tcPr>
            <w:tcW w:w="5220" w:type="dxa"/>
            <w:noWrap w:val="0"/>
            <w:vAlign w:val="center"/>
          </w:tcPr>
          <w:p>
            <w:pPr>
              <w:jc w:val="center"/>
              <w:rPr>
                <w:rFonts w:hint="eastAsia"/>
                <w:b/>
                <w:bCs/>
                <w:sz w:val="28"/>
                <w:szCs w:val="28"/>
                <w:shd w:val="clear" w:color="auto" w:fill="auto"/>
                <w:vertAlign w:val="baseline"/>
                <w:lang w:val="en-US" w:eastAsia="zh-CN"/>
              </w:rPr>
            </w:pPr>
            <w:r>
              <w:rPr>
                <w:rFonts w:hint="eastAsia"/>
                <w:b/>
                <w:bCs/>
                <w:sz w:val="28"/>
                <w:szCs w:val="28"/>
                <w:shd w:val="clear" w:color="auto" w:fill="auto"/>
                <w:vertAlign w:val="baseline"/>
                <w:lang w:val="en-US" w:eastAsia="zh-CN"/>
              </w:rPr>
              <w:t>积分标准</w:t>
            </w:r>
          </w:p>
        </w:tc>
        <w:tc>
          <w:tcPr>
            <w:tcW w:w="1118" w:type="dxa"/>
            <w:noWrap w:val="0"/>
            <w:vAlign w:val="center"/>
          </w:tcPr>
          <w:p>
            <w:pPr>
              <w:jc w:val="center"/>
              <w:rPr>
                <w:rFonts w:hint="eastAsia"/>
                <w:b/>
                <w:bCs/>
                <w:sz w:val="28"/>
                <w:szCs w:val="28"/>
                <w:shd w:val="clear" w:color="auto" w:fill="auto"/>
                <w:vertAlign w:val="baseline"/>
                <w:lang w:val="en-US" w:eastAsia="zh-CN"/>
              </w:rPr>
            </w:pPr>
            <w:r>
              <w:rPr>
                <w:rFonts w:hint="eastAsia"/>
                <w:b/>
                <w:bCs/>
                <w:sz w:val="28"/>
                <w:szCs w:val="28"/>
                <w:shd w:val="clear" w:color="auto" w:fill="auto"/>
                <w:vertAlign w:val="baseline"/>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1</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职务积分</w:t>
            </w: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会长单位</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副会长单位</w:t>
            </w:r>
          </w:p>
        </w:tc>
        <w:tc>
          <w:tcPr>
            <w:tcW w:w="1118"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副秘书长单位</w:t>
            </w:r>
          </w:p>
        </w:tc>
        <w:tc>
          <w:tcPr>
            <w:tcW w:w="1118" w:type="dxa"/>
            <w:noWrap w:val="0"/>
            <w:vAlign w:val="center"/>
          </w:tcPr>
          <w:p>
            <w:pPr>
              <w:jc w:val="center"/>
              <w:rPr>
                <w:rFonts w:hint="default"/>
                <w:sz w:val="24"/>
                <w:szCs w:val="24"/>
                <w:vertAlign w:val="baseline"/>
                <w:lang w:val="en-US" w:eastAsia="zh-CN"/>
              </w:rPr>
            </w:pPr>
            <w:r>
              <w:rPr>
                <w:rFonts w:hint="eastAsia"/>
                <w:sz w:val="24"/>
                <w:szCs w:val="24"/>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常务理事单位</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理事单位</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6</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会员单位</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7</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会费积分</w:t>
            </w: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第一季度足额交纳会费</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8</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第二季度足额交纳会费</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9</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第三季度足额交纳会费</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10</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预交下年度或者多年度会费</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11</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会议积分</w:t>
            </w: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会员代表大会出任人参加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12</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会员代表大会派代表参加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会员代表大会未参加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理事会、常务理事会出任人参加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理事会、常务理事会派代表参加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16</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理事会、常务理事会未参加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17</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会长办公会出任人参加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18</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会长办公会派代表参加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19</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会长办公会未参加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20</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会长办公会监事、副秘书长出任人列席</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21</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会长办公会监事、副秘书长派代表列席</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22</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会长办公会监事、副秘书长未参加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调研会、发布会、座谈会、监事会、专委会</w:t>
            </w:r>
            <w:r>
              <w:rPr>
                <w:rFonts w:hint="eastAsia" w:ascii="宋体" w:hAnsi="宋体" w:cs="宋体"/>
                <w:sz w:val="24"/>
                <w:szCs w:val="24"/>
                <w:lang w:val="en-US" w:eastAsia="zh-CN"/>
              </w:rPr>
              <w:t>会议</w:t>
            </w:r>
            <w:r>
              <w:rPr>
                <w:rFonts w:hint="eastAsia" w:ascii="宋体" w:hAnsi="宋体" w:eastAsia="宋体" w:cs="宋体"/>
                <w:sz w:val="24"/>
                <w:szCs w:val="24"/>
                <w:lang w:val="en-US" w:eastAsia="zh-CN"/>
              </w:rPr>
              <w:t>等其他类型会议</w:t>
            </w:r>
            <w:r>
              <w:rPr>
                <w:rFonts w:hint="eastAsia"/>
                <w:sz w:val="24"/>
                <w:szCs w:val="24"/>
                <w:vertAlign w:val="baseline"/>
                <w:lang w:val="en-US" w:eastAsia="zh-CN"/>
              </w:rPr>
              <w:t>出任</w:t>
            </w:r>
            <w:r>
              <w:rPr>
                <w:rFonts w:hint="eastAsia" w:ascii="宋体" w:hAnsi="宋体" w:eastAsia="宋体" w:cs="宋体"/>
                <w:sz w:val="24"/>
                <w:szCs w:val="24"/>
                <w:lang w:val="en-US" w:eastAsia="zh-CN"/>
              </w:rPr>
              <w:t>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调研会、发布会、座谈会、监事会、专委会</w:t>
            </w:r>
            <w:r>
              <w:rPr>
                <w:rFonts w:hint="eastAsia" w:ascii="宋体" w:hAnsi="宋体" w:cs="宋体"/>
                <w:sz w:val="24"/>
                <w:szCs w:val="24"/>
                <w:lang w:val="en-US" w:eastAsia="zh-CN"/>
              </w:rPr>
              <w:t>会议</w:t>
            </w:r>
            <w:r>
              <w:rPr>
                <w:rFonts w:hint="eastAsia" w:ascii="宋体" w:hAnsi="宋体" w:eastAsia="宋体" w:cs="宋体"/>
                <w:sz w:val="24"/>
                <w:szCs w:val="24"/>
                <w:lang w:val="en-US" w:eastAsia="zh-CN"/>
              </w:rPr>
              <w:t>等其他类型会</w:t>
            </w:r>
            <w:r>
              <w:rPr>
                <w:rFonts w:hint="eastAsia" w:ascii="宋体" w:hAnsi="宋体" w:cs="宋体"/>
                <w:sz w:val="24"/>
                <w:szCs w:val="24"/>
                <w:lang w:val="en-US" w:eastAsia="zh-CN"/>
              </w:rPr>
              <w:t>派代表</w:t>
            </w:r>
            <w:r>
              <w:rPr>
                <w:rFonts w:hint="eastAsia" w:ascii="宋体" w:hAnsi="宋体" w:eastAsia="宋体" w:cs="宋体"/>
                <w:sz w:val="24"/>
                <w:szCs w:val="24"/>
                <w:lang w:val="en-US" w:eastAsia="zh-CN"/>
              </w:rPr>
              <w:t>人参加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25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调研会、发布会、座谈会、监事会、专委会</w:t>
            </w:r>
            <w:r>
              <w:rPr>
                <w:rFonts w:hint="eastAsia" w:ascii="宋体" w:hAnsi="宋体" w:cs="宋体"/>
                <w:sz w:val="24"/>
                <w:szCs w:val="24"/>
                <w:lang w:val="en-US" w:eastAsia="zh-CN"/>
              </w:rPr>
              <w:t>会议</w:t>
            </w:r>
            <w:r>
              <w:rPr>
                <w:rFonts w:hint="eastAsia" w:ascii="宋体" w:hAnsi="宋体" w:eastAsia="宋体" w:cs="宋体"/>
                <w:sz w:val="24"/>
                <w:szCs w:val="24"/>
                <w:lang w:val="en-US" w:eastAsia="zh-CN"/>
              </w:rPr>
              <w:t>等其他类型会议</w:t>
            </w:r>
            <w:r>
              <w:rPr>
                <w:rFonts w:hint="eastAsia" w:ascii="宋体" w:hAnsi="宋体" w:cs="宋体"/>
                <w:sz w:val="24"/>
                <w:szCs w:val="24"/>
                <w:lang w:val="en-US" w:eastAsia="zh-CN"/>
              </w:rPr>
              <w:t>未</w:t>
            </w:r>
            <w:r>
              <w:rPr>
                <w:rFonts w:hint="eastAsia" w:ascii="宋体" w:hAnsi="宋体" w:eastAsia="宋体" w:cs="宋体"/>
                <w:sz w:val="24"/>
                <w:szCs w:val="24"/>
                <w:lang w:val="en-US" w:eastAsia="zh-CN"/>
              </w:rPr>
              <w:t>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26</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sz w:val="24"/>
                <w:szCs w:val="24"/>
                <w:vertAlign w:val="baseline"/>
                <w:lang w:val="en-US" w:eastAsia="zh-CN"/>
              </w:rPr>
            </w:pPr>
            <w:r>
              <w:rPr>
                <w:rFonts w:hint="eastAsia"/>
                <w:sz w:val="24"/>
                <w:szCs w:val="24"/>
                <w:vertAlign w:val="baseline"/>
                <w:lang w:val="en-US" w:eastAsia="zh-CN"/>
              </w:rPr>
              <w:t>会议地址距离参会单位距离</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b/>
                <w:bCs/>
                <w:sz w:val="28"/>
                <w:szCs w:val="28"/>
                <w:shd w:val="clear" w:color="auto" w:fill="auto"/>
                <w:lang w:val="en-US" w:eastAsia="zh-CN"/>
              </w:rPr>
              <w:t>序号</w:t>
            </w:r>
          </w:p>
        </w:tc>
        <w:tc>
          <w:tcPr>
            <w:tcW w:w="1380" w:type="dxa"/>
            <w:noWrap w:val="0"/>
            <w:vAlign w:val="center"/>
          </w:tcPr>
          <w:p>
            <w:pPr>
              <w:jc w:val="center"/>
              <w:rPr>
                <w:rFonts w:hint="eastAsia"/>
                <w:sz w:val="24"/>
                <w:szCs w:val="24"/>
                <w:vertAlign w:val="baseline"/>
                <w:lang w:val="en-US" w:eastAsia="zh-CN"/>
              </w:rPr>
            </w:pPr>
            <w:r>
              <w:rPr>
                <w:rFonts w:hint="eastAsia"/>
                <w:b/>
                <w:bCs/>
                <w:sz w:val="28"/>
                <w:szCs w:val="28"/>
                <w:shd w:val="clear" w:color="auto" w:fill="auto"/>
                <w:vertAlign w:val="baseline"/>
                <w:lang w:val="en-US" w:eastAsia="zh-CN"/>
              </w:rPr>
              <w:t>积分类别</w:t>
            </w:r>
          </w:p>
        </w:tc>
        <w:tc>
          <w:tcPr>
            <w:tcW w:w="5220" w:type="dxa"/>
            <w:noWrap w:val="0"/>
            <w:vAlign w:val="center"/>
          </w:tcPr>
          <w:p>
            <w:pPr>
              <w:jc w:val="center"/>
              <w:rPr>
                <w:rFonts w:hint="eastAsia"/>
                <w:sz w:val="24"/>
                <w:szCs w:val="24"/>
                <w:vertAlign w:val="baseline"/>
                <w:lang w:val="en-US" w:eastAsia="zh-CN"/>
              </w:rPr>
            </w:pPr>
            <w:r>
              <w:rPr>
                <w:rFonts w:hint="eastAsia"/>
                <w:b/>
                <w:bCs/>
                <w:sz w:val="28"/>
                <w:szCs w:val="28"/>
                <w:shd w:val="clear" w:color="auto" w:fill="auto"/>
                <w:vertAlign w:val="baseline"/>
                <w:lang w:val="en-US" w:eastAsia="zh-CN"/>
              </w:rPr>
              <w:t>积分标准</w:t>
            </w:r>
          </w:p>
        </w:tc>
        <w:tc>
          <w:tcPr>
            <w:tcW w:w="1118" w:type="dxa"/>
            <w:noWrap w:val="0"/>
            <w:vAlign w:val="center"/>
          </w:tcPr>
          <w:p>
            <w:pPr>
              <w:jc w:val="center"/>
              <w:rPr>
                <w:rFonts w:hint="eastAsia"/>
                <w:sz w:val="24"/>
                <w:szCs w:val="24"/>
                <w:vertAlign w:val="baseline"/>
                <w:lang w:val="en-US" w:eastAsia="zh-CN"/>
              </w:rPr>
            </w:pPr>
            <w:r>
              <w:rPr>
                <w:rFonts w:hint="eastAsia"/>
                <w:b/>
                <w:bCs/>
                <w:sz w:val="28"/>
                <w:szCs w:val="28"/>
                <w:shd w:val="clear" w:color="auto" w:fill="auto"/>
                <w:vertAlign w:val="baseline"/>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27</w:t>
            </w:r>
          </w:p>
        </w:tc>
        <w:tc>
          <w:tcPr>
            <w:tcW w:w="1380" w:type="dxa"/>
            <w:vMerge w:val="restart"/>
            <w:noWrap w:val="0"/>
            <w:vAlign w:val="center"/>
          </w:tcPr>
          <w:p>
            <w:pPr>
              <w:jc w:val="both"/>
              <w:rPr>
                <w:rFonts w:hint="eastAsia"/>
                <w:sz w:val="24"/>
                <w:szCs w:val="24"/>
                <w:vertAlign w:val="baseline"/>
                <w:lang w:val="en-US" w:eastAsia="zh-CN"/>
              </w:rPr>
            </w:pPr>
            <w:r>
              <w:rPr>
                <w:rFonts w:hint="eastAsia" w:ascii="宋体" w:hAnsi="宋体" w:eastAsia="宋体" w:cs="宋体"/>
                <w:sz w:val="24"/>
                <w:szCs w:val="24"/>
                <w:lang w:val="en-US" w:eastAsia="zh-CN"/>
              </w:rPr>
              <w:t>党建、培训、讲座、论坛、参观、考察、竞赛、文体等活动</w:t>
            </w:r>
            <w:r>
              <w:rPr>
                <w:rFonts w:hint="eastAsia"/>
                <w:sz w:val="24"/>
                <w:szCs w:val="24"/>
                <w:vertAlign w:val="baseline"/>
                <w:lang w:val="en-US" w:eastAsia="zh-CN"/>
              </w:rPr>
              <w:t>积分</w:t>
            </w: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党建活动主动报名参加</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28</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其他公益性活动报名参加的每人每次</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29</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其他公益性活动报名未参加</w:t>
            </w:r>
            <w:r>
              <w:rPr>
                <w:rFonts w:hint="eastAsia" w:ascii="宋体" w:hAnsi="宋体" w:cs="宋体"/>
                <w:sz w:val="24"/>
                <w:szCs w:val="24"/>
                <w:lang w:val="en-US" w:eastAsia="zh-CN"/>
              </w:rPr>
              <w:t>每</w:t>
            </w:r>
            <w:r>
              <w:rPr>
                <w:rFonts w:hint="eastAsia" w:ascii="宋体" w:hAnsi="宋体" w:eastAsia="宋体" w:cs="宋体"/>
                <w:sz w:val="24"/>
                <w:szCs w:val="24"/>
                <w:lang w:val="en-US" w:eastAsia="zh-CN"/>
              </w:rPr>
              <w:t>人每次</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30</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其他非公益性活动报名参加的每人每次</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31</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仿宋" w:hAnsi="仿宋" w:eastAsia="仿宋" w:cs="仿宋"/>
                <w:sz w:val="32"/>
                <w:szCs w:val="32"/>
                <w:lang w:val="en-US" w:eastAsia="zh-CN"/>
              </w:rPr>
            </w:pPr>
            <w:r>
              <w:rPr>
                <w:rFonts w:hint="eastAsia"/>
                <w:sz w:val="24"/>
                <w:szCs w:val="24"/>
                <w:vertAlign w:val="baseline"/>
                <w:lang w:val="en-US" w:eastAsia="zh-CN"/>
              </w:rPr>
              <w:t>活动地址距离参会单位距离</w:t>
            </w:r>
          </w:p>
        </w:tc>
        <w:tc>
          <w:tcPr>
            <w:tcW w:w="1118"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32</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工作积分</w:t>
            </w: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承办或协办协会组织举办的各类会议、活动</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承担或参与协会重要课题、各类专题工作计划、报告、规范性文件、教材或实施方案等起草工作</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为协会工作建言献策并被采纳</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借</w:t>
            </w:r>
            <w:r>
              <w:rPr>
                <w:rFonts w:hint="eastAsia" w:ascii="宋体" w:hAnsi="宋体" w:eastAsia="宋体" w:cs="宋体"/>
                <w:sz w:val="24"/>
                <w:szCs w:val="24"/>
                <w:lang w:val="en-US" w:eastAsia="zh-CN"/>
              </w:rPr>
              <w:t>调工作人员在协会秘书处工作的每人每月</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36</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提供参观学习项目场地每个</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37</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提供15人以上会议室</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38</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提供车辆的每天每车</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39</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提供会议或活动工作人员的每人每天</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40</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按时完成上报的材料或报表等工作任务</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41</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积极投稿的每次</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42</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微信群为他人答疑解难每次</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43</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成功推荐物业企业入会，每推荐一家</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44</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企业负责人或联系人成功加入协会微信群</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804" w:type="dxa"/>
            <w:noWrap w:val="0"/>
            <w:vAlign w:val="center"/>
          </w:tcPr>
          <w:p>
            <w:pPr>
              <w:jc w:val="center"/>
              <w:rPr>
                <w:rFonts w:hint="eastAsia"/>
                <w:sz w:val="24"/>
                <w:szCs w:val="24"/>
                <w:lang w:val="en-US" w:eastAsia="zh-CN"/>
              </w:rPr>
            </w:pPr>
            <w:r>
              <w:rPr>
                <w:rFonts w:hint="eastAsia"/>
                <w:sz w:val="24"/>
                <w:szCs w:val="24"/>
                <w:lang w:val="en-US" w:eastAsia="zh-CN"/>
              </w:rPr>
              <w:t>45</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企业负责人或联系人成功关注协会微信公众号</w:t>
            </w:r>
          </w:p>
        </w:tc>
        <w:tc>
          <w:tcPr>
            <w:tcW w:w="1118" w:type="dxa"/>
            <w:noWrap w:val="0"/>
            <w:vAlign w:val="center"/>
          </w:tcPr>
          <w:p>
            <w:pPr>
              <w:jc w:val="center"/>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46</w:t>
            </w:r>
          </w:p>
        </w:tc>
        <w:tc>
          <w:tcPr>
            <w:tcW w:w="1380" w:type="dxa"/>
            <w:vMerge w:val="restart"/>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表彰积分</w:t>
            </w: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被评为自治区物业管理协会上年度最佳会员单位</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47</w:t>
            </w:r>
          </w:p>
        </w:tc>
        <w:tc>
          <w:tcPr>
            <w:tcW w:w="1380" w:type="dxa"/>
            <w:vMerge w:val="continue"/>
            <w:noWrap w:val="0"/>
            <w:vAlign w:val="center"/>
          </w:tcPr>
          <w:p>
            <w:pPr>
              <w:jc w:val="center"/>
              <w:rPr>
                <w:rFonts w:hint="eastAsia"/>
                <w:sz w:val="24"/>
                <w:szCs w:val="24"/>
                <w:vertAlign w:val="baseline"/>
                <w:lang w:val="en-US" w:eastAsia="zh-CN"/>
              </w:rPr>
            </w:pPr>
          </w:p>
        </w:tc>
        <w:tc>
          <w:tcPr>
            <w:tcW w:w="5220" w:type="dxa"/>
            <w:noWrap w:val="0"/>
            <w:vAlign w:val="center"/>
          </w:tcPr>
          <w:p>
            <w:pPr>
              <w:jc w:val="both"/>
              <w:rPr>
                <w:rFonts w:hint="eastAsia" w:ascii="宋体" w:hAnsi="宋体" w:cs="宋体"/>
                <w:sz w:val="24"/>
                <w:szCs w:val="24"/>
                <w:lang w:val="en-US" w:eastAsia="zh-CN"/>
              </w:rPr>
            </w:pPr>
            <w:r>
              <w:rPr>
                <w:rFonts w:hint="eastAsia" w:ascii="宋体" w:hAnsi="宋体" w:cs="宋体"/>
                <w:sz w:val="24"/>
                <w:szCs w:val="24"/>
                <w:lang w:val="en-US" w:eastAsia="zh-CN"/>
              </w:rPr>
              <w:t>被评为自治区物业管理协会上年度优秀会员单位</w:t>
            </w:r>
          </w:p>
        </w:tc>
        <w:tc>
          <w:tcPr>
            <w:tcW w:w="1118" w:type="dxa"/>
            <w:noWrap w:val="0"/>
            <w:vAlign w:val="center"/>
          </w:tcPr>
          <w:p>
            <w:pPr>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8" w:hRule="atLeast"/>
        </w:trPr>
        <w:tc>
          <w:tcPr>
            <w:tcW w:w="804" w:type="dxa"/>
            <w:noWrap w:val="0"/>
            <w:vAlign w:val="center"/>
          </w:tcPr>
          <w:p>
            <w:pPr>
              <w:jc w:val="center"/>
              <w:rPr>
                <w:rFonts w:hint="default"/>
                <w:sz w:val="24"/>
                <w:szCs w:val="24"/>
                <w:lang w:val="en-US" w:eastAsia="zh-CN"/>
              </w:rPr>
            </w:pPr>
            <w:r>
              <w:rPr>
                <w:rFonts w:hint="eastAsia"/>
                <w:sz w:val="24"/>
                <w:szCs w:val="24"/>
                <w:lang w:val="en-US" w:eastAsia="zh-CN"/>
              </w:rPr>
              <w:t>48</w:t>
            </w:r>
          </w:p>
        </w:tc>
        <w:tc>
          <w:tcPr>
            <w:tcW w:w="1380" w:type="dxa"/>
            <w:noWrap w:val="0"/>
            <w:vAlign w:val="center"/>
          </w:tcPr>
          <w:p>
            <w:pPr>
              <w:jc w:val="center"/>
              <w:rPr>
                <w:rFonts w:hint="eastAsia"/>
                <w:sz w:val="24"/>
                <w:szCs w:val="24"/>
                <w:vertAlign w:val="baseline"/>
                <w:lang w:val="en-US" w:eastAsia="zh-CN"/>
              </w:rPr>
            </w:pPr>
            <w:r>
              <w:rPr>
                <w:rFonts w:hint="eastAsia"/>
                <w:sz w:val="24"/>
                <w:szCs w:val="24"/>
                <w:vertAlign w:val="baseline"/>
                <w:lang w:val="en-US" w:eastAsia="zh-CN"/>
              </w:rPr>
              <w:t>其他积分</w:t>
            </w:r>
          </w:p>
        </w:tc>
        <w:tc>
          <w:tcPr>
            <w:tcW w:w="5220" w:type="dxa"/>
            <w:noWrap w:val="0"/>
            <w:vAlign w:val="center"/>
          </w:tcPr>
          <w:p>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未列入本办法积分范围内的其他活动，参照本办法相关活动的积分方式</w:t>
            </w:r>
          </w:p>
        </w:tc>
        <w:tc>
          <w:tcPr>
            <w:tcW w:w="1118" w:type="dxa"/>
            <w:noWrap w:val="0"/>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由秘书处给予相应的积分</w:t>
            </w:r>
          </w:p>
        </w:tc>
      </w:tr>
    </w:tbl>
    <w:p>
      <w:pPr>
        <w:rPr>
          <w:rFonts w:hint="eastAsia"/>
          <w:lang w:val="en-US" w:eastAsia="zh-CN"/>
        </w:rPr>
      </w:pPr>
    </w:p>
    <w:p>
      <w:pPr>
        <w:rPr>
          <w:rFonts w:hint="eastAsia" w:ascii="仿宋_GB2312" w:eastAsia="仿宋_GB2312"/>
          <w:sz w:val="32"/>
          <w:szCs w:val="32"/>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CE60B8"/>
    <w:rsid w:val="2512779A"/>
    <w:rsid w:val="6ACE6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2020-01-07T08:51:00Z</dcterms:created>
  <dc:creator>黄磊</dc:creator>
  <cp:lastModifiedBy>黄磊</cp:lastModifiedBy>
  <dcterms:modified xsi:type="dcterms:W3CDTF">2020-01-07T08:53:24Z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