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44"/>
          <w:szCs w:val="44"/>
        </w:rPr>
      </w:pPr>
      <w:r>
        <w:rPr>
          <w:sz w:val="44"/>
        </w:rPr>
        <mc:AlternateContent>
          <mc:Choice Requires="wps">
            <w:drawing>
              <wp:anchor distT="0" distB="0" distL="114300" distR="114300" simplePos="0" relativeHeight="251663360" behindDoc="1" locked="0" layoutInCell="1" allowOverlap="1">
                <wp:simplePos x="0" y="0"/>
                <wp:positionH relativeFrom="column">
                  <wp:posOffset>71120</wp:posOffset>
                </wp:positionH>
                <wp:positionV relativeFrom="paragraph">
                  <wp:posOffset>-223520</wp:posOffset>
                </wp:positionV>
                <wp:extent cx="914400" cy="914400"/>
                <wp:effectExtent l="4445" t="4445" r="14605" b="14605"/>
                <wp:wrapNone/>
                <wp:docPr id="1" name="文本框 1"/>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hint="eastAsia" w:eastAsia="宋体"/>
                                <w:lang w:val="en-US" w:eastAsia="zh-CN"/>
                              </w:rPr>
                            </w:pPr>
                            <w:r>
                              <w:rPr>
                                <w:rFonts w:hint="eastAsia"/>
                                <w:lang w:eastAsia="zh-CN"/>
                              </w:rPr>
                              <w:t>附件</w:t>
                            </w:r>
                            <w:r>
                              <w:rPr>
                                <w:rFonts w:hint="eastAsia"/>
                                <w:lang w:val="en-US" w:eastAsia="zh-CN"/>
                              </w:rPr>
                              <w:t>6</w:t>
                            </w:r>
                          </w:p>
                        </w:txbxContent>
                      </wps:txbx>
                      <wps:bodyPr upright="1"/>
                    </wps:wsp>
                  </a:graphicData>
                </a:graphic>
              </wp:anchor>
            </w:drawing>
          </mc:Choice>
          <mc:Fallback>
            <w:pict>
              <v:shape id="_x0000_s1026" o:spid="_x0000_s1026" o:spt="202" type="#_x0000_t202" style="position:absolute;left:0pt;margin-left:5.6pt;margin-top:-17.6pt;height:72pt;width:72pt;z-index:-251653120;mso-width-relative:page;mso-height-relative:page;" fillcolor="#FFFFFF" filled="t" stroked="t" coordsize="21600,21600" o:gfxdata="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mojug1QAA&#10;AAoBAAAPAAAAAAAAAAEAIAAAACIAAABkcnMvZG93bnJldi54bWxQSwECFAAUAAAACACHTuJAODjO&#10;wugBAADnAwAADgAAAAAAAAABACAAAAAkAQAAZHJzL2Uyb0RvYy54bWxQSwUGAAAAAAYABgBZAQAA&#10;fgUAAAAA&#10;">
                <v:fill on="t" focussize="0,0"/>
                <v:stroke color="#FFFFFF" joinstyle="miter"/>
                <v:imagedata o:title=""/>
                <o:lock v:ext="edit" aspectratio="f"/>
                <v:textbox>
                  <w:txbxContent>
                    <w:p>
                      <w:pPr>
                        <w:rPr>
                          <w:rFonts w:hint="eastAsia" w:eastAsia="宋体"/>
                          <w:lang w:val="en-US" w:eastAsia="zh-CN"/>
                        </w:rPr>
                      </w:pPr>
                      <w:r>
                        <w:rPr>
                          <w:rFonts w:hint="eastAsia"/>
                          <w:lang w:eastAsia="zh-CN"/>
                        </w:rPr>
                        <w:t>附件</w:t>
                      </w:r>
                      <w:r>
                        <w:rPr>
                          <w:rFonts w:hint="eastAsia"/>
                          <w:lang w:val="en-US" w:eastAsia="zh-CN"/>
                        </w:rPr>
                        <w:t>6</w:t>
                      </w:r>
                    </w:p>
                  </w:txbxContent>
                </v:textbox>
              </v:shape>
            </w:pict>
          </mc:Fallback>
        </mc:AlternateContent>
      </w:r>
      <w:r>
        <w:rPr>
          <w:rFonts w:hint="eastAsia" w:ascii="宋体" w:hAnsi="宋体" w:eastAsia="宋体" w:cs="宋体"/>
          <w:b/>
          <w:bCs/>
          <w:sz w:val="44"/>
          <w:szCs w:val="44"/>
          <w:lang w:eastAsia="zh-CN"/>
        </w:rPr>
        <w:t>设立分支机构</w:t>
      </w:r>
      <w:r>
        <w:rPr>
          <w:rFonts w:hint="eastAsia" w:ascii="宋体" w:hAnsi="宋体" w:eastAsia="宋体" w:cs="宋体"/>
          <w:b/>
          <w:bCs/>
          <w:sz w:val="44"/>
          <w:szCs w:val="44"/>
        </w:rPr>
        <w:t>内蒙古物业纠纷</w:t>
      </w:r>
    </w:p>
    <w:p>
      <w:pPr>
        <w:jc w:val="center"/>
        <w:rPr>
          <w:rFonts w:hint="eastAsia" w:ascii="仿宋" w:hAnsi="仿宋" w:eastAsia="仿宋" w:cs="仿宋"/>
          <w:b w:val="0"/>
          <w:bCs w:val="0"/>
          <w:sz w:val="32"/>
          <w:szCs w:val="32"/>
          <w:lang w:eastAsia="zh-CN"/>
        </w:rPr>
      </w:pPr>
      <w:r>
        <w:rPr>
          <w:rFonts w:hint="eastAsia" w:ascii="宋体" w:hAnsi="宋体" w:eastAsia="宋体" w:cs="宋体"/>
          <w:b/>
          <w:bCs/>
          <w:sz w:val="44"/>
          <w:szCs w:val="44"/>
        </w:rPr>
        <w:t>人民调解委员会</w:t>
      </w:r>
    </w:p>
    <w:p>
      <w:pPr>
        <w:rPr>
          <w:rFonts w:hint="eastAsia" w:ascii="仿宋" w:hAnsi="仿宋" w:eastAsia="仿宋" w:cs="仿宋"/>
          <w:sz w:val="18"/>
          <w:szCs w:val="18"/>
        </w:rPr>
      </w:pP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为维护业主和物业服务企业的合法权利，畅通利益诉求渠道，依法、及时、有效预防和化解物业管理纠纷，营造和</w:t>
      </w:r>
      <w:bookmarkStart w:id="0" w:name="_GoBack"/>
      <w:r>
        <w:rPr>
          <w:rFonts w:hint="eastAsia" w:ascii="仿宋" w:hAnsi="仿宋" w:eastAsia="仿宋" w:cs="仿宋"/>
          <w:sz w:val="32"/>
          <w:szCs w:val="32"/>
          <w:lang w:eastAsia="zh-CN"/>
        </w:rPr>
        <w:t>谐良好的社会环境，拟成立内蒙古物业纠纷人民调解委员会。</w:t>
      </w:r>
    </w:p>
    <w:bookmarkEnd w:id="0"/>
    <w:p>
      <w:pPr>
        <w:ind w:firstLine="643" w:firstLineChars="200"/>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一、主要职责和任务</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（一）宣传物权法、物业管理条例、内蒙古自治区物业管理条例等相关法律法规，倡导遵纪守法、诚实守信、认真履约、遵守社会公德。</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（二）开展物业服务相关法律法规、物业服务纠纷咨询及相关法务、诉讼工作的顾问和代理。</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（三）排查、预警、调解物业矛盾纠纷，主要调解物业服务企业与开发建设单位、物业服务企业、业主、业主委员会、专营单位，业主与业主、业主委员会、开发建设单位之间的矛盾纠纷。</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（四）定期统计分析物业矛盾纠纷，制定相应对策，并向住建、司法等相关职能部门进行</w:t>
      </w:r>
      <w:r>
        <w:rPr>
          <w:rFonts w:hint="eastAsia" w:ascii="仿宋" w:hAnsi="仿宋" w:eastAsia="仿宋" w:cs="仿宋"/>
          <w:sz w:val="32"/>
          <w:szCs w:val="32"/>
          <w:lang w:val="en-US" w:eastAsia="zh-CN"/>
        </w:rPr>
        <w:t>反馈和报告</w:t>
      </w:r>
      <w:r>
        <w:rPr>
          <w:rFonts w:hint="eastAsia" w:ascii="仿宋" w:hAnsi="仿宋" w:eastAsia="仿宋" w:cs="仿宋"/>
          <w:sz w:val="32"/>
          <w:szCs w:val="32"/>
          <w:lang w:eastAsia="zh-CN"/>
        </w:rPr>
        <w:t>。</w:t>
      </w:r>
    </w:p>
    <w:p>
      <w:pPr>
        <w:ind w:firstLine="643" w:firstLineChars="200"/>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二、组织机构</w:t>
      </w:r>
    </w:p>
    <w:p>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委员会将联合内蒙古社会法律服务中心共同发起成立，委员会设主任1名，常务副主任1名，副主任和委员若干名。有相关工作经验的专家和法律服务工作者可主动进行自荐，协会将对自荐的专家和法律服务工作者的工作能力进行综合评估并结合实际情况拟定出主任、副主任、委员人选，提交委员大会进行审议表决。</w:t>
      </w:r>
    </w:p>
    <w:p>
      <w:pPr>
        <w:ind w:firstLine="643" w:firstLineChars="200"/>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三、主要工作规则</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（一）物业纠纷人民调解委员会为协会的分支机构，接受内蒙古自治区物业管理协会的业务指导，按照协会章程及职责开展工作。</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（二）物业纠纷人民调解委员会应遵守相关法律法规、《社团登记管理条例》及《内蒙古自治区物业管理协会章程》。</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（三）物业纠纷人民调解委员会工作的基本原则是公平公正、民主集中。</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（四）物业纠纷人民调解委员会每年至少召开一次工作会议，对重要工作进行讨论研究。</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（五）物业纠纷人民调解委员会开展重大调解活动前需在协会进行报备，批准后方可开展，协会对委员会开展的各项活动进行监督、指导。</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（六）物业纠纷人民调解委员会财务收支纳入协会账户按照财务管理制度进行统一管理。</w:t>
      </w:r>
    </w:p>
    <w:p>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eastAsia="zh-CN"/>
        </w:rPr>
        <w:t>（七）详细规则由物业纠纷人民调解委员会根据具体情况制定。</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2F7044"/>
    <w:rsid w:val="6A2F70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Office_11.3.0.8632_F1E327BC-269C-435d-A152-05C5408002CA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2020-01-07T08:56:00Z</dcterms:created>
  <dc:creator>黄磊</dc:creator>
  <cp:lastModifiedBy>黄磊</cp:lastModifiedBy>
  <dcterms:modified xsi:type="dcterms:W3CDTF">2020-01-07T08:57:12Z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