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-427355</wp:posOffset>
                </wp:positionV>
                <wp:extent cx="657225" cy="361950"/>
                <wp:effectExtent l="0" t="0" r="9525" b="0"/>
                <wp:wrapNone/>
                <wp:docPr id="2" name="文本框 2"/>
                <wp:cNvGraphicFramePr/>
                <a:graphic xmlns:a="http://schemas.openxmlformats.org/drawingml/2006/main">
                  <a:graphicData uri="http://schemas.microsoft.com/office/word/2010/wordprocessingShape">
                    <wps:wsp>
                      <wps:cNvSpPr txBox="1"/>
                      <wps:spPr>
                        <a:xfrm>
                          <a:off x="1099185" y="487045"/>
                          <a:ext cx="65722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33.65pt;height:28.5pt;width:51.75pt;z-index:251658240;mso-width-relative:page;mso-height-relative:page;" fillcolor="#FFFFFF [3201]" filled="t" stroked="f" coordsize="21600,21600" o:gfxdata="UEsDBAoAAAAAAIdO4kAAAAAAAAAAAAAAAAAEAAAAZHJzL1BLAwQUAAAACACHTuJAjFx18NQAAAAJ&#10;AQAADwAAAGRycy9kb3ducmV2LnhtbE2PTU/DMAyG70j8h8iTuG1JGSqsNN0BiSsS+zpnjWmqJU7V&#10;ZJ+/Hu8EJ8v2o9eP6+UleHHCMfWRNBQzBQKpjbanTsNm/Tl9A5GyIWt8JNRwxQTL5vGhNpWNZ/rG&#10;0yp3gkMoVUaDy3mopEytw2DSLA5IvPuJYzCZ27GTdjRnDg9ePitVymB64gvODPjhsD2sjkHDrgu3&#10;3bYYRmeDf6Gv23W9ib3WT5NCvYPIeMl/MNz1WR0adtrHI9kkvIZpuWDyXl/nIBhYlCWIPQ8KNQfZ&#10;1PL/B80vUEsDBBQAAAAIAIdO4kC8qgAEPgIAAEsEAAAOAAAAZHJzL2Uyb0RvYy54bWytVM2O2jAQ&#10;vlfqO1i+l4QssIAIK8qKqtKquxKtejaOQyw5Htc2JPQB2jfYUy+997l4jo4d2KU/p6oczIzn8/x8&#10;M5PZTVsrshfWSdA57fdSSoTmUEi9zemH96tXY0qcZ7pgCrTI6UE4ejN/+WLWmKnIoAJVCEvQiXbT&#10;xuS08t5Mk8TxStTM9cAIjcYSbM08qnabFJY16L1WSZamo6QBWxgLXDiHt7edkc6j/7IU3N+XpROe&#10;qJxibj6eNp6bcCbzGZtuLTOV5Kc02D9kUTOpMeiTq1vmGdlZ+YerWnILDkrf41AnUJaSi1gDVtNP&#10;f6tmXTEjYi1IjjNPNLn/55a/2z9YIoucZpRoVmOLjo9fj99+HL9/IVmgpzFuiqi1QZxvX0OLbT7f&#10;O7wMVbelrcM/1kOCPZ1M+uMhJYecDsbX6WDY8SxaTzjaR8PrLEMzR/vVqD8Zxj4kz36Mdf6NgJoE&#10;IacW2xjZZfs75zEnhJ4hIawDJYuVVCoqdrtZKkv2DFu+ir8QHZ/8AlOaNJjJFcYOrzSE9x1OaYSH&#10;srvyguTbTXviYgPFAamw0M2SM3wlMcs75vwDszg8OGa4EP4ej1IBBoGTREkF9vPf7gMee4pWShoc&#10;xpy6TztmBSXqrcZuT/qDQZjeqAyQPVTspWVzadG7eglYfB9Xz/AoBrxXZ7G0UH/EvVmEqGhimmPs&#10;nPqzuPTdiuDecbFYRBDOq2H+Tq8ND6470hY7D6WMLQk0ddyc2MOJjbSftiusxKUeUc/fg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Fx18NQAAAAJAQAADwAAAAAAAAABACAAAAAiAAAAZHJzL2Rv&#10;d25yZXYueG1sUEsBAhQAFAAAAAgAh07iQLyqAAQ+AgAASwQAAA4AAAAAAAAAAQAgAAAAIwEAAGRy&#10;cy9lMm9Eb2MueG1sUEsFBgAAAAAGAAYAWQEAANMFAAAAAA==&#10;">
                <v:fill on="t" focussize="0,0"/>
                <v:stroke on="f" weight="0.5pt"/>
                <v:imagedata o:title=""/>
                <o:lock v:ext="edit" aspectratio="f"/>
                <v:textbox>
                  <w:txbxContent>
                    <w:p>
                      <w:pPr>
                        <w:rPr>
                          <w:rFonts w:hint="default" w:eastAsiaTheme="minorEastAsia"/>
                          <w:lang w:val="en-US" w:eastAsia="zh-CN"/>
                        </w:rPr>
                      </w:pPr>
                      <w:r>
                        <w:rPr>
                          <w:rFonts w:hint="eastAsia"/>
                          <w:lang w:eastAsia="zh-CN"/>
                        </w:rPr>
                        <w:t>附件</w:t>
                      </w:r>
                      <w:r>
                        <w:rPr>
                          <w:rFonts w:hint="eastAsia"/>
                          <w:lang w:val="en-US" w:eastAsia="zh-CN"/>
                        </w:rPr>
                        <w:t>2</w:t>
                      </w:r>
                    </w:p>
                  </w:txbxContent>
                </v:textbox>
              </v:shape>
            </w:pict>
          </mc:Fallback>
        </mc:AlternateContent>
      </w: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cstheme="minorEastAsia"/>
          <w:b/>
          <w:bCs/>
          <w:sz w:val="32"/>
          <w:szCs w:val="32"/>
          <w:lang w:eastAsia="zh-CN"/>
        </w:rPr>
        <w:t>非</w:t>
      </w:r>
      <w:r>
        <w:rPr>
          <w:rFonts w:hint="eastAsia" w:asciiTheme="minorEastAsia" w:hAnsiTheme="minorEastAsia" w:eastAsiaTheme="minorEastAsia" w:cstheme="minorEastAsia"/>
          <w:b/>
          <w:bCs/>
          <w:sz w:val="32"/>
          <w:szCs w:val="32"/>
          <w:lang w:eastAsia="zh-CN"/>
        </w:rPr>
        <w:t>居住物业）</w:t>
      </w:r>
    </w:p>
    <w:p>
      <w:pPr>
        <w:rPr>
          <w:rFonts w:hint="eastAsia"/>
          <w:lang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考评核验分值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24</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1、物业为多业主所有的，制定（临时）管理规约和业主大会议事规则；物业为单一业主所有的，制定使用人（租户）管理制度；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2、临时管理规约经业主书面承诺遵守，管理规约和业主大会议事规则经业主大会表决通过；使用人（租户）管理制度符合法律法规的规定以及租赁合同的约定。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1、物业服务合同签订符合法律法规规定，租赁合同中物业管理的约定应当与物业服务合同一致，无侵害业主合法权益的内容；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default" w:ascii="仿宋" w:hAnsi="仿宋" w:eastAsia="仿宋" w:cs="仿宋"/>
                <w:color w:val="auto"/>
                <w:vertAlign w:val="baseline"/>
                <w:lang w:val="en-US" w:eastAsia="zh-CN"/>
              </w:rPr>
              <w:t>4</w:t>
            </w:r>
            <w:r>
              <w:rPr>
                <w:rFonts w:hint="eastAsia" w:ascii="仿宋" w:hAnsi="仿宋" w:eastAsia="仿宋" w:cs="仿宋"/>
                <w:color w:val="auto"/>
                <w:vertAlign w:val="baseline"/>
                <w:lang w:val="en-US" w:eastAsia="zh-CN"/>
              </w:rPr>
              <w:t>、</w:t>
            </w:r>
            <w:r>
              <w:rPr>
                <w:rFonts w:hint="default" w:ascii="仿宋" w:hAnsi="仿宋" w:eastAsia="仿宋" w:cs="仿宋"/>
                <w:color w:val="auto"/>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1020" w:type="dxa"/>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1、物业为多业主所有的，应当协助并配合业主建立专项维修资金相关制度。</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6、物业共用部位维修养护管理制度；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3、有专人负责接待客户来访，24小时受理客户信息，客服接待人员值班记录完整，客户信息处理记录完整，有客户回访制度和记录，投诉处理及时率100%，并按月进行统计分析；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、物业服务收费明码标价，实行物业服务费酬金制的，每年不少于一次公布物业服务资金的收支情况；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精神文明建设</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1、精神文明建设有计划，有方案，有措施，有成效；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2、采用书面资料、宣传栏、网络等方式培养业主的公共道德意识和良好工作习惯；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3、每年开展二次以上的文体娱乐活动，营造和谐的工作氛围；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4、积极组织和参与志愿（公益）活动，开展精神文明建设。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1、对业主违反治安、消防、环保、房屋装饰装修和使用等方面法律、法规规定的行为，及时进行劝阻，并向有关行政部门报告；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主动与物业所在地的物业行政主管部门、街道办事处（苏木乡镇人民政府）、公安派出所、居民委员会联络，共同协调解决物业管理中遇到的问题；建立与业主定期沟通机制，积极听取业主、物业使用人对物业服务的意见和建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b w:val="0"/>
                <w:bCs w:val="0"/>
                <w:color w:val="auto"/>
                <w:vertAlign w:val="baseline"/>
                <w:lang w:eastAsia="zh-CN"/>
              </w:rPr>
              <w:t>二、物业共用部位管理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1、物业区域内交通标志、引导指示、安全警示、温馨提示和平面示意图规范清晰；</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、组团及幢、楼层、房号以及配套设施标识规范、清晰；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、物业区域明显位置设置入驻单位（职能部门）名录牌；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 物业共用部位使用符合建筑设计要求，无擅自改变用途现象。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物业外观状况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 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1、制定并实施室外附加设施统一、规范的安装标准和管理制度；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、室外招牌、广告牌、夜景灯等设施按规定办理报批，手续齐全，色彩风格统一；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3、空调安装位置统一，管线整齐，冷凝水集中排放；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4、定期巡视检查，发现安全隐患，及时告知或劝阻业主及相关当事人，并采取相应防范措施。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1、按相关规定审核客户装修方案，特殊场所装修装饰方案须经消防部门核准；签订装饰装修管理服务协议，明确禁止行为和注意事项，办理装修施工批准手续；</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2.装修人员出入和装修施工时间有效控制，装修垃圾定点堆放，定时清运；</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3、专人每日巡视检查装修现场，及时劝阻和制止装修违规行为，制止无效的，书面报告有关部门；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1、定期巡查天台、楼梯、通道、窗户等共用部位，发现损坏，及时维修养护并做好记录；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29</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color w:val="auto"/>
                <w:vertAlign w:val="baseline"/>
                <w:lang w:eastAsia="zh-CN"/>
              </w:rPr>
              <w:t>共用设施设备管理和运行状况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3、设施设备运行、维护、保养和检查等管理制度健全；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5、制定并实施日常设施设备检修、巡视、保养、应急管理等制度；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1、设备系统图（平面图）、操作规程、岗位责任制度、应急预案、特种作业人员资格证书等齐全，张贴于机房明显位置；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2、工作人员交接班及非工作人员进出管理制度完善、记录完整；</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、机房整洁、无渗漏、无积水、无杂物堆放，设备表面无积尘、无锈蚀；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库房</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1、建立并实施维修工具、备品、备件采购、存放、出入库和报废管理制度；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 xml:space="preserve">一项不符合扣0.5分，一处不符合扣0.2分 </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2、对危险品、化学品等特殊备品、备件单独存放，并定期检查。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2、停、送电严格执行操作制度；</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3、变配电室安全警示牌配置齐全；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、高压供电检修检验和安全防护用具配置齐全，年检合格；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3、楼宇智能化（消防、安防等）中央控制室实行24小时专人值班，图像、数据、记录清晰完整，并按规定保存备查；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4、值班人员熟练掌握中控系统工作原理和操作规程，对于系统显示的设备故障和突发事件，能够及时报告报警并作好记录。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2、供水系统设备完好、运行正常，日检查和月、季、年保养制度完善；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3、排水系统通畅，汛期道路、地下室、设备室及地下车库无积水和浸泡现象；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6、限水、停水事先通知客户，并实施应急供水方案。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3、消防自动喷淋灭火系统、气体灭火系统能够正常启用；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4、消防正压送风、防排烟系统能够正常启用；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空调系统管理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1、空调系统运行正常，水质符合标准；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2、冷却塔运行正常，噪声符合规范要求；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3、空调管道、阀件及仪表完好，无跑、冒、滴、漏现象；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4、空调系统日常巡查、维修、养护工作符合技术规范要求；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5、新风、送排风系统运行正常，消毒管道和过滤装置定期清洗，符合规范要求；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6、空调系统出现故障，维护人员接到报修后在规定时间内到达现场检修。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制定符合项目特点的秩序维护方案；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2、秩序维护人员配置合理，岗位责任明确，按照规定频次和路线巡查；</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、安全监控室及主出入口实行24小时值班，对外来人员、车辆和物品进出实行管理；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6、机动、非机动车辆停放有序</w:t>
            </w:r>
            <w:r>
              <w:rPr>
                <w:rFonts w:hint="eastAsia" w:ascii="仿宋" w:hAnsi="仿宋" w:eastAsia="仿宋" w:cs="仿宋"/>
                <w:color w:val="auto"/>
                <w:vertAlign w:val="baseline"/>
                <w:lang w:val="en-US" w:eastAsia="zh-CN"/>
              </w:rPr>
              <w:t>,</w:t>
            </w:r>
            <w:r>
              <w:rPr>
                <w:rFonts w:hint="eastAsia" w:ascii="仿宋" w:hAnsi="仿宋" w:eastAsia="仿宋" w:cs="仿宋"/>
                <w:color w:val="auto"/>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3、消防中控室实行24小时专人值班制度，值班记录完整，消防应急广播正常，随时可用；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1、制定符合项目特点的保洁服务方案；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、保洁人员配置合理，责任区域明确；</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3</w:t>
            </w:r>
            <w:r>
              <w:rPr>
                <w:rFonts w:hint="eastAsia" w:ascii="仿宋" w:hAnsi="仿宋" w:eastAsia="仿宋" w:cs="仿宋"/>
                <w:vertAlign w:val="baseline"/>
                <w:lang w:eastAsia="zh-CN"/>
              </w:rPr>
              <w:t>、制定并严格执行保洁用品、范围、流程、频次、效果及评价等服务标准；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4</w:t>
            </w:r>
            <w:r>
              <w:rPr>
                <w:rFonts w:hint="eastAsia" w:ascii="仿宋" w:hAnsi="仿宋" w:eastAsia="仿宋" w:cs="仿宋"/>
                <w:vertAlign w:val="baseline"/>
                <w:lang w:eastAsia="zh-CN"/>
              </w:rPr>
              <w:t>、垃圾实行分类管理，工业废料及医疗垃圾等严格按照有关规定处理；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6</w:t>
            </w:r>
            <w:r>
              <w:rPr>
                <w:rFonts w:hint="eastAsia" w:ascii="仿宋" w:hAnsi="仿宋" w:eastAsia="仿宋" w:cs="仿宋"/>
                <w:vertAlign w:val="baseline"/>
                <w:lang w:eastAsia="zh-CN"/>
              </w:rPr>
              <w:t>、定期对保洁设施设备进行卫生消毒；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7</w:t>
            </w:r>
            <w:r>
              <w:rPr>
                <w:rFonts w:hint="eastAsia" w:ascii="仿宋" w:hAnsi="仿宋" w:eastAsia="仿宋" w:cs="仿宋"/>
                <w:vertAlign w:val="baseline"/>
                <w:lang w:eastAsia="zh-CN"/>
              </w:rPr>
              <w:t>、管理区域内道路、绿地、停车场、文体活动区域等共用场地无纸屑、烟头、塑料袋等废弃物；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8</w:t>
            </w:r>
            <w:r>
              <w:rPr>
                <w:rFonts w:hint="eastAsia" w:ascii="仿宋" w:hAnsi="仿宋" w:eastAsia="仿宋" w:cs="仿宋"/>
                <w:vertAlign w:val="baseline"/>
                <w:lang w:eastAsia="zh-CN"/>
              </w:rPr>
              <w:t>、房屋共用部位及共用设施设备保持清洁；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9</w:t>
            </w:r>
            <w:r>
              <w:rPr>
                <w:rFonts w:hint="eastAsia" w:ascii="仿宋" w:hAnsi="仿宋" w:eastAsia="仿宋" w:cs="仿宋"/>
                <w:vertAlign w:val="baseline"/>
                <w:lang w:eastAsia="zh-CN"/>
              </w:rPr>
              <w:t>、及时清理公共场地、道路的积雪、积水；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10</w:t>
            </w:r>
            <w:r>
              <w:rPr>
                <w:rFonts w:hint="eastAsia" w:ascii="仿宋" w:hAnsi="仿宋" w:eastAsia="仿宋" w:cs="仿宋"/>
                <w:vertAlign w:val="baseline"/>
                <w:lang w:eastAsia="zh-CN"/>
              </w:rPr>
              <w:t>、防治鼠害、虫害等有计划，有措施，有记录；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0.5</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bookmarkStart w:id="0" w:name="_GoBack" w:colFirst="0" w:colLast="0"/>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1、每年至少开展一次业主满意率调查，调查覆盖率不低于80%，具备条件的，可邀请第三方机构开展业主满意度测评；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F3E88"/>
    <w:rsid w:val="06C82DFF"/>
    <w:rsid w:val="07623CD6"/>
    <w:rsid w:val="07DE2D1C"/>
    <w:rsid w:val="0D2668DC"/>
    <w:rsid w:val="111E7357"/>
    <w:rsid w:val="1F95210A"/>
    <w:rsid w:val="207942CD"/>
    <w:rsid w:val="211A534D"/>
    <w:rsid w:val="22B6291D"/>
    <w:rsid w:val="232866C0"/>
    <w:rsid w:val="25AB04E5"/>
    <w:rsid w:val="26E96B00"/>
    <w:rsid w:val="27A737C3"/>
    <w:rsid w:val="27F203BE"/>
    <w:rsid w:val="305963BC"/>
    <w:rsid w:val="32873133"/>
    <w:rsid w:val="33946643"/>
    <w:rsid w:val="3674181E"/>
    <w:rsid w:val="46444867"/>
    <w:rsid w:val="486D5F7D"/>
    <w:rsid w:val="4EE90F79"/>
    <w:rsid w:val="50DD1D6D"/>
    <w:rsid w:val="525B6885"/>
    <w:rsid w:val="536A7957"/>
    <w:rsid w:val="55101AAF"/>
    <w:rsid w:val="56457F20"/>
    <w:rsid w:val="5A906355"/>
    <w:rsid w:val="5BD60ED0"/>
    <w:rsid w:val="5C794D68"/>
    <w:rsid w:val="5D5769FE"/>
    <w:rsid w:val="6026431B"/>
    <w:rsid w:val="60B71191"/>
    <w:rsid w:val="60BE3D70"/>
    <w:rsid w:val="637C1C56"/>
    <w:rsid w:val="64DA7100"/>
    <w:rsid w:val="64FA0399"/>
    <w:rsid w:val="6A8E1372"/>
    <w:rsid w:val="6C590016"/>
    <w:rsid w:val="6FD6261F"/>
    <w:rsid w:val="745160A1"/>
    <w:rsid w:val="754C6828"/>
    <w:rsid w:val="77FE009F"/>
    <w:rsid w:val="79957201"/>
    <w:rsid w:val="7C0769D3"/>
    <w:rsid w:val="7D2B6ACC"/>
    <w:rsid w:val="7EB95C4C"/>
    <w:rsid w:val="7F427D66"/>
    <w:rsid w:val="7FFC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黄磊</cp:lastModifiedBy>
  <dcterms:modified xsi:type="dcterms:W3CDTF">2020-04-08T10:17:38Z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