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bookmarkStart w:id="0" w:name="_GoBack"/>
      <w:bookmarkEnd w:id="0"/>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内蒙古自治区物业管理项目</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创优达标评价申报表</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（居住物业）</w:t>
      </w: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rPr>
        <w:t>项目名称：</w:t>
      </w:r>
      <w:r>
        <w:rPr>
          <w:rFonts w:hint="eastAsia" w:ascii="仿宋_GB2312" w:hAnsi="宋体" w:eastAsia="仿宋_GB2312"/>
          <w:bCs/>
          <w:sz w:val="32"/>
          <w:szCs w:val="32"/>
          <w:u w:val="single"/>
        </w:rPr>
        <w:t xml:space="preserve">                        </w:t>
      </w: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lang w:eastAsia="zh-CN"/>
        </w:rPr>
        <w:t>达标类型</w:t>
      </w:r>
      <w:r>
        <w:rPr>
          <w:rFonts w:hint="eastAsia" w:ascii="仿宋_GB2312" w:hAnsi="宋体" w:eastAsia="仿宋_GB2312"/>
          <w:bCs/>
          <w:sz w:val="32"/>
          <w:szCs w:val="32"/>
        </w:rPr>
        <w:t>：</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eastAsia="zh-CN"/>
        </w:rPr>
        <w:t>示范</w:t>
      </w:r>
      <w:r>
        <w:rPr>
          <w:rFonts w:hint="eastAsia" w:ascii="仿宋_GB2312" w:hAnsi="宋体" w:eastAsia="仿宋_GB2312"/>
          <w:bCs/>
          <w:sz w:val="32"/>
          <w:szCs w:val="32"/>
          <w:u w:val="single"/>
          <w:lang w:eastAsia="zh-CN"/>
        </w:rPr>
        <w:sym w:font="Wingdings" w:char="00A8"/>
      </w:r>
      <w:r>
        <w:rPr>
          <w:rFonts w:hint="eastAsia" w:ascii="仿宋_GB2312" w:hAnsi="宋体" w:eastAsia="仿宋_GB2312"/>
          <w:bCs/>
          <w:sz w:val="32"/>
          <w:szCs w:val="32"/>
          <w:u w:val="single"/>
          <w:lang w:val="en-US" w:eastAsia="zh-CN"/>
        </w:rPr>
        <w:t xml:space="preserve">    优秀</w:t>
      </w:r>
      <w:r>
        <w:rPr>
          <w:rFonts w:hint="eastAsia" w:ascii="仿宋_GB2312" w:hAnsi="宋体" w:eastAsia="仿宋_GB2312"/>
          <w:bCs/>
          <w:sz w:val="32"/>
          <w:szCs w:val="32"/>
          <w:u w:val="single"/>
          <w:lang w:val="en-US" w:eastAsia="zh-CN"/>
        </w:rPr>
        <w:sym w:font="Wingdings" w:char="00A8"/>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val="en-US" w:eastAsia="zh-CN"/>
        </w:rPr>
        <w:t xml:space="preserve">  </w:t>
      </w:r>
      <w:r>
        <w:rPr>
          <w:rFonts w:hint="eastAsia" w:ascii="仿宋_GB2312" w:hAnsi="宋体" w:eastAsia="仿宋_GB2312"/>
          <w:bCs/>
          <w:sz w:val="32"/>
          <w:szCs w:val="32"/>
          <w:u w:val="single"/>
        </w:rPr>
        <w:t xml:space="preserve">     </w:t>
      </w:r>
    </w:p>
    <w:p>
      <w:pPr>
        <w:ind w:firstLine="1424" w:firstLineChars="445"/>
        <w:rPr>
          <w:rFonts w:hint="eastAsia" w:ascii="仿宋_GB2312" w:eastAsia="仿宋_GB2312"/>
          <w:bCs/>
          <w:sz w:val="32"/>
          <w:szCs w:val="32"/>
          <w:u w:val="single"/>
        </w:rPr>
      </w:pPr>
      <w:r>
        <w:rPr>
          <w:rFonts w:hint="eastAsia" w:ascii="仿宋_GB2312" w:hAnsi="宋体" w:eastAsia="仿宋_GB2312"/>
          <w:bCs/>
          <w:sz w:val="32"/>
          <w:szCs w:val="32"/>
        </w:rPr>
        <w:t>申报日期：</w:t>
      </w:r>
      <w:r>
        <w:rPr>
          <w:rFonts w:hint="eastAsia" w:ascii="仿宋_GB2312" w:hAnsi="宋体" w:eastAsia="仿宋_GB2312"/>
          <w:bCs/>
          <w:sz w:val="32"/>
          <w:szCs w:val="32"/>
          <w:u w:val="single"/>
        </w:rPr>
        <w:t xml:space="preserve">                        </w:t>
      </w:r>
    </w:p>
    <w:p>
      <w:pPr>
        <w:ind w:firstLine="1424" w:firstLineChars="445"/>
        <w:rPr>
          <w:rFonts w:hint="eastAsia" w:ascii="仿宋_GB2312" w:eastAsia="仿宋_GB2312"/>
          <w:bCs/>
          <w:sz w:val="32"/>
          <w:szCs w:val="32"/>
          <w:u w:val="single"/>
        </w:rPr>
      </w:pPr>
      <w:r>
        <w:rPr>
          <w:rFonts w:hint="eastAsia" w:ascii="仿宋_GB2312" w:hAnsi="宋体" w:eastAsia="仿宋_GB2312"/>
          <w:bCs/>
          <w:sz w:val="32"/>
          <w:szCs w:val="32"/>
        </w:rPr>
        <w:t>服务企业名称：</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（章）</w:t>
      </w:r>
    </w:p>
    <w:p>
      <w:pPr>
        <w:jc w:val="both"/>
        <w:rPr>
          <w:rFonts w:hint="eastAsia" w:ascii="仿宋" w:hAnsi="仿宋" w:eastAsia="仿宋" w:cs="仿宋"/>
          <w:b/>
          <w:bCs/>
          <w:sz w:val="44"/>
          <w:szCs w:val="44"/>
          <w:lang w:val="en-US" w:eastAsia="zh-CN"/>
        </w:rPr>
      </w:pPr>
    </w:p>
    <w:p>
      <w:pPr>
        <w:rPr>
          <w:rFonts w:hint="eastAsia" w:ascii="宋体"/>
          <w:b/>
          <w:sz w:val="36"/>
          <w:szCs w:val="36"/>
        </w:rPr>
      </w:pPr>
    </w:p>
    <w:p>
      <w:pPr>
        <w:rPr>
          <w:rFonts w:hint="eastAsia" w:ascii="宋体" w:hAnsi="宋体"/>
          <w:b/>
          <w:sz w:val="36"/>
          <w:szCs w:val="36"/>
        </w:rPr>
        <w:sectPr>
          <w:pgSz w:w="11906" w:h="16838"/>
          <w:pgMar w:top="1440" w:right="1800" w:bottom="1440" w:left="1800" w:header="851" w:footer="992" w:gutter="0"/>
          <w:cols w:space="425" w:num="1"/>
          <w:docGrid w:type="lines" w:linePitch="312" w:charSpace="0"/>
        </w:sectPr>
      </w:pPr>
    </w:p>
    <w:p>
      <w:pPr>
        <w:rPr>
          <w:rFonts w:hint="eastAsia" w:ascii="仿宋_GB2312" w:eastAsia="仿宋_GB2312"/>
          <w:b/>
          <w:sz w:val="36"/>
          <w:szCs w:val="36"/>
        </w:rPr>
      </w:pPr>
      <w:r>
        <w:rPr>
          <w:rFonts w:hint="eastAsia" w:ascii="宋体" w:hAnsi="宋体"/>
          <w:b/>
          <w:sz w:val="36"/>
          <w:szCs w:val="36"/>
        </w:rPr>
        <w:t xml:space="preserve">                    </w:t>
      </w:r>
      <w:r>
        <w:rPr>
          <w:rFonts w:hint="eastAsia" w:ascii="仿宋_GB2312" w:hAnsi="宋体" w:eastAsia="仿宋_GB2312"/>
          <w:b/>
          <w:sz w:val="44"/>
          <w:szCs w:val="44"/>
        </w:rPr>
        <w:t>说   明</w:t>
      </w:r>
    </w:p>
    <w:p>
      <w:pPr>
        <w:rPr>
          <w:rFonts w:hint="eastAsia" w:ascii="宋体"/>
          <w:bCs/>
          <w:sz w:val="32"/>
          <w:szCs w:val="32"/>
        </w:rPr>
      </w:pPr>
    </w:p>
    <w:p>
      <w:pPr>
        <w:rPr>
          <w:rFonts w:hint="eastAsia" w:ascii="仿宋_GB2312" w:eastAsia="仿宋_GB2312"/>
          <w:bCs/>
          <w:sz w:val="32"/>
          <w:szCs w:val="32"/>
        </w:rPr>
      </w:pPr>
      <w:r>
        <w:rPr>
          <w:rFonts w:hint="eastAsia" w:ascii="宋体" w:hAnsi="宋体"/>
          <w:bCs/>
          <w:sz w:val="32"/>
          <w:szCs w:val="32"/>
        </w:rPr>
        <w:t xml:space="preserve">   </w:t>
      </w:r>
      <w:r>
        <w:rPr>
          <w:rFonts w:hint="eastAsia" w:ascii="仿宋_GB2312" w:hAnsi="宋体" w:eastAsia="仿宋_GB2312"/>
          <w:bCs/>
          <w:sz w:val="32"/>
          <w:szCs w:val="32"/>
        </w:rPr>
        <w:t>一、本表由申报</w:t>
      </w:r>
      <w:r>
        <w:rPr>
          <w:rFonts w:hint="eastAsia" w:ascii="仿宋_GB2312" w:hAnsi="宋体" w:eastAsia="仿宋_GB2312" w:cs="宋体"/>
          <w:bCs/>
          <w:sz w:val="32"/>
          <w:szCs w:val="32"/>
          <w:lang w:eastAsia="zh-CN"/>
        </w:rPr>
        <w:t>内蒙古自治区</w:t>
      </w:r>
      <w:r>
        <w:rPr>
          <w:rFonts w:hint="eastAsia" w:ascii="仿宋_GB2312" w:hAnsi="宋体" w:eastAsia="仿宋_GB2312" w:cs="宋体"/>
          <w:bCs/>
          <w:color w:val="000000"/>
          <w:sz w:val="32"/>
          <w:szCs w:val="32"/>
        </w:rPr>
        <w:t>物业管理项目</w:t>
      </w:r>
      <w:r>
        <w:rPr>
          <w:rFonts w:hint="eastAsia" w:ascii="仿宋_GB2312" w:hAnsi="宋体" w:eastAsia="仿宋_GB2312" w:cs="宋体"/>
          <w:bCs/>
          <w:color w:val="000000"/>
          <w:sz w:val="32"/>
          <w:szCs w:val="32"/>
          <w:lang w:eastAsia="zh-CN"/>
        </w:rPr>
        <w:t>创优达标评价</w:t>
      </w:r>
      <w:r>
        <w:rPr>
          <w:rFonts w:hint="eastAsia" w:ascii="仿宋_GB2312" w:hAnsi="宋体" w:eastAsia="仿宋_GB2312"/>
          <w:bCs/>
          <w:sz w:val="32"/>
          <w:szCs w:val="32"/>
        </w:rPr>
        <w:t>的</w:t>
      </w:r>
      <w:r>
        <w:rPr>
          <w:rFonts w:hint="eastAsia" w:ascii="仿宋_GB2312" w:hAnsi="宋体" w:eastAsia="仿宋_GB2312"/>
          <w:bCs/>
          <w:sz w:val="32"/>
          <w:szCs w:val="32"/>
          <w:lang w:eastAsia="zh-CN"/>
        </w:rPr>
        <w:t>物业</w:t>
      </w:r>
      <w:r>
        <w:rPr>
          <w:rFonts w:hint="eastAsia" w:ascii="仿宋_GB2312" w:hAnsi="宋体" w:eastAsia="仿宋_GB2312"/>
          <w:bCs/>
          <w:sz w:val="32"/>
          <w:szCs w:val="32"/>
        </w:rPr>
        <w:t>服务企业及</w:t>
      </w:r>
      <w:r>
        <w:rPr>
          <w:rFonts w:hint="eastAsia" w:ascii="仿宋_GB2312" w:hAnsi="宋体" w:eastAsia="仿宋_GB2312"/>
          <w:bCs/>
          <w:sz w:val="32"/>
          <w:szCs w:val="32"/>
          <w:lang w:eastAsia="zh-CN"/>
        </w:rPr>
        <w:t>盟市预评预验和承办单位</w:t>
      </w:r>
      <w:r>
        <w:rPr>
          <w:rFonts w:hint="eastAsia" w:ascii="仿宋_GB2312" w:hAnsi="宋体" w:eastAsia="仿宋_GB2312"/>
          <w:bCs/>
          <w:sz w:val="32"/>
          <w:szCs w:val="32"/>
        </w:rPr>
        <w:t>填写。</w:t>
      </w:r>
    </w:p>
    <w:p>
      <w:pPr>
        <w:ind w:firstLine="640" w:firstLineChars="200"/>
        <w:rPr>
          <w:rFonts w:hint="eastAsia" w:ascii="仿宋_GB2312" w:eastAsia="仿宋_GB2312"/>
          <w:sz w:val="32"/>
          <w:szCs w:val="32"/>
          <w:lang w:eastAsia="zh-CN"/>
        </w:rPr>
      </w:pPr>
      <w:r>
        <w:rPr>
          <w:rFonts w:hint="eastAsia" w:ascii="仿宋_GB2312" w:hAnsi="宋体" w:eastAsia="仿宋_GB2312"/>
          <w:bCs/>
          <w:sz w:val="32"/>
          <w:szCs w:val="32"/>
          <w:lang w:eastAsia="zh-CN"/>
        </w:rPr>
        <w:t>二、申报类型、业主委员会情况及有无不良信用记录请在</w:t>
      </w:r>
      <w:r>
        <w:rPr>
          <w:rFonts w:hint="eastAsia" w:ascii="仿宋_GB2312" w:eastAsia="仿宋_GB2312"/>
          <w:sz w:val="32"/>
          <w:szCs w:val="32"/>
        </w:rPr>
        <w:t>□内“√”选择</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三、信用等级是指由行业行政主管部门或行业协会评定的信用等级，行业内未评定信用等级的企业请登录“信用内蒙古”网站输入企业名称或统一社会信用代码查询有无不良记录。</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四</w:t>
      </w:r>
      <w:r>
        <w:rPr>
          <w:rFonts w:hint="eastAsia" w:ascii="仿宋_GB2312" w:hAnsi="宋体" w:eastAsia="仿宋_GB2312"/>
          <w:bCs/>
          <w:sz w:val="32"/>
          <w:szCs w:val="32"/>
        </w:rPr>
        <w:t>、表格内不敷填写，可另加附页。</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五</w:t>
      </w:r>
      <w:r>
        <w:rPr>
          <w:rFonts w:hint="eastAsia" w:ascii="仿宋_GB2312" w:hAnsi="宋体" w:eastAsia="仿宋_GB2312"/>
          <w:bCs/>
          <w:sz w:val="32"/>
          <w:szCs w:val="32"/>
        </w:rPr>
        <w:t>、如实填写，切勿作假。</w:t>
      </w: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3"/>
        <w:gridCol w:w="201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项目地址</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业主委员会情况</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已成立</w:t>
            </w:r>
            <w:r>
              <w:rPr>
                <w:rFonts w:hint="eastAsia" w:ascii="仿宋" w:hAnsi="仿宋" w:eastAsia="仿宋" w:cs="仿宋"/>
                <w:b w:val="0"/>
                <w:bCs w:val="0"/>
                <w:sz w:val="24"/>
                <w:szCs w:val="24"/>
                <w:vertAlign w:val="baseline"/>
                <w:lang w:eastAsia="zh-CN"/>
              </w:rPr>
              <w:sym w:font="Wingdings" w:char="00A8"/>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未成立</w:t>
            </w:r>
            <w:r>
              <w:rPr>
                <w:rFonts w:hint="eastAsia" w:ascii="仿宋" w:hAnsi="仿宋" w:eastAsia="仿宋" w:cs="仿宋"/>
                <w:b w:val="0"/>
                <w:bCs w:val="0"/>
                <w:sz w:val="24"/>
                <w:szCs w:val="24"/>
                <w:vertAlign w:val="baseline"/>
                <w:lang w:eastAsia="zh-CN"/>
              </w:rPr>
              <w:sym w:font="Wingdings" w:char="00A8"/>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建筑面积（平米）</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服企企业名称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信用代码</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企业信用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等级（情况）</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信用等级：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无不良记录</w:t>
            </w:r>
            <w:r>
              <w:rPr>
                <w:rFonts w:hint="eastAsia" w:ascii="仿宋" w:hAnsi="仿宋" w:eastAsia="仿宋" w:cs="仿宋"/>
                <w:b w:val="0"/>
                <w:bCs w:val="0"/>
                <w:sz w:val="18"/>
                <w:szCs w:val="18"/>
                <w:vertAlign w:val="baseline"/>
                <w:lang w:eastAsia="zh-CN"/>
              </w:rPr>
              <w:sym w:font="Wingdings" w:char="00A8"/>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18"/>
                <w:szCs w:val="18"/>
                <w:vertAlign w:val="baseline"/>
                <w:lang w:eastAsia="zh-CN"/>
              </w:rPr>
            </w:pPr>
            <w:r>
              <w:rPr>
                <w:rFonts w:hint="eastAsia" w:ascii="仿宋" w:hAnsi="仿宋" w:eastAsia="仿宋" w:cs="仿宋"/>
                <w:b w:val="0"/>
                <w:bCs w:val="0"/>
                <w:sz w:val="18"/>
                <w:szCs w:val="18"/>
                <w:vertAlign w:val="baseline"/>
                <w:lang w:eastAsia="zh-CN"/>
              </w:rPr>
              <w:t>有不良记录</w:t>
            </w:r>
            <w:r>
              <w:rPr>
                <w:rFonts w:hint="eastAsia" w:ascii="仿宋" w:hAnsi="仿宋" w:eastAsia="仿宋" w:cs="仿宋"/>
                <w:b w:val="0"/>
                <w:bCs w:val="0"/>
                <w:sz w:val="18"/>
                <w:szCs w:val="18"/>
                <w:vertAlign w:val="baseline"/>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3" w:hRule="atLeast"/>
        </w:trPr>
        <w:tc>
          <w:tcPr>
            <w:tcW w:w="8522"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物业服务单位自评概述：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240" w:firstLineChars="260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预评预验总分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盟市预评预验、复验承办单位意见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核验评价总分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1"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自治区物业协会核验评价意见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备注</w:t>
            </w:r>
          </w:p>
        </w:tc>
        <w:tc>
          <w:tcPr>
            <w:tcW w:w="639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专家签字：</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内蒙古自治区物业管理项目创优</w:t>
      </w:r>
      <w:r>
        <w:rPr>
          <w:rFonts w:hint="eastAsia" w:asciiTheme="minorEastAsia" w:hAnsiTheme="minorEastAsia" w:cstheme="minorEastAsia"/>
          <w:b/>
          <w:bCs/>
          <w:sz w:val="32"/>
          <w:szCs w:val="32"/>
          <w:lang w:eastAsia="zh-CN"/>
        </w:rPr>
        <w:t>达标</w:t>
      </w:r>
      <w:r>
        <w:rPr>
          <w:rFonts w:hint="eastAsia" w:asciiTheme="minorEastAsia" w:hAnsiTheme="minorEastAsia" w:eastAsiaTheme="minorEastAsia" w:cstheme="minorEastAsia"/>
          <w:b/>
          <w:bCs/>
          <w:sz w:val="32"/>
          <w:szCs w:val="32"/>
          <w:lang w:eastAsia="zh-CN"/>
        </w:rPr>
        <w:t>评价标准</w:t>
      </w:r>
      <w:r>
        <w:rPr>
          <w:rFonts w:hint="eastAsia" w:asciiTheme="minorEastAsia" w:hAnsiTheme="minorEastAsia" w:cstheme="minorEastAsia"/>
          <w:b/>
          <w:bCs/>
          <w:sz w:val="32"/>
          <w:szCs w:val="32"/>
          <w:lang w:eastAsia="zh-CN"/>
        </w:rPr>
        <w:t>（暂行）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（居住物业）</w:t>
      </w:r>
    </w:p>
    <w:p>
      <w:pPr>
        <w:jc w:val="center"/>
        <w:rPr>
          <w:rFonts w:hint="eastAsia"/>
          <w:lang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211"/>
        <w:gridCol w:w="653"/>
        <w:gridCol w:w="879"/>
        <w:gridCol w:w="86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项目</w:t>
            </w:r>
          </w:p>
        </w:tc>
        <w:tc>
          <w:tcPr>
            <w:tcW w:w="421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标准内容</w:t>
            </w:r>
          </w:p>
        </w:tc>
        <w:tc>
          <w:tcPr>
            <w:tcW w:w="653"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规定分值</w:t>
            </w:r>
          </w:p>
        </w:tc>
        <w:tc>
          <w:tcPr>
            <w:tcW w:w="879"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评分</w:t>
            </w:r>
          </w:p>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细则</w:t>
            </w:r>
          </w:p>
        </w:tc>
        <w:tc>
          <w:tcPr>
            <w:tcW w:w="868"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预评预验分值</w:t>
            </w:r>
          </w:p>
        </w:tc>
        <w:tc>
          <w:tcPr>
            <w:tcW w:w="89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核验评价分值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一、基础管理服务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28</w:t>
            </w:r>
          </w:p>
        </w:tc>
        <w:tc>
          <w:tcPr>
            <w:tcW w:w="879" w:type="dxa"/>
            <w:vAlign w:val="center"/>
          </w:tcPr>
          <w:p>
            <w:pPr>
              <w:jc w:val="center"/>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物业项目资料</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1、竣工总平面图，单体建筑、结构、设备竣工图，配套设施、地下管网工程竣工图等竣工验收资料；</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2、共用设施设备清单及其安装、使用和维护保养等技术资料；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3、供水、供电、供气、供热、通信、有线电视等准许使用文件；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4、物业质量保修文件和物业使用说明文件；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5、承接查验所必须的其他资料。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承接查验手续</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1、物业承接查验协议；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2、共用部位、共用设施设备查验记录；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3、共用部位、共用设施设备交接记录；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4、物业承接查验备案证明。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管理规约制度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1、临时管理规约；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2、管理规约和业主大会议事规则；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3、（临时）管理规约和业主大会议事规则的内容符合法律法规的规定；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4、临时管理规约经业主书面承诺遵守，管理规约和业主大会议事规则经业主大会表决通过。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物业服务合同</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1、物业服务合同签订符合法律法规规定，无侵害业主合法权益的内容；</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2、物业服务合同基本要素规范，无缺项，有物业服务相关标准；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3、一个区域由一家物业服务企业提供服务，专业服务委托外包的，外包单位的资质条件符合相关规定，专项服务合同或协议符合物业服务合同约定；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vertAlign w:val="baseline"/>
                <w:lang w:val="en-US" w:eastAsia="zh-CN"/>
              </w:rPr>
            </w:pPr>
            <w:r>
              <w:rPr>
                <w:rFonts w:hint="default" w:ascii="仿宋" w:hAnsi="仿宋" w:eastAsia="仿宋" w:cs="仿宋"/>
                <w:vertAlign w:val="baseline"/>
                <w:lang w:val="en-US" w:eastAsia="zh-CN"/>
              </w:rPr>
              <w:t>4</w:t>
            </w:r>
            <w:r>
              <w:rPr>
                <w:rFonts w:hint="eastAsia" w:ascii="仿宋" w:hAnsi="仿宋" w:eastAsia="仿宋" w:cs="仿宋"/>
                <w:vertAlign w:val="baseline"/>
                <w:lang w:val="en-US" w:eastAsia="zh-CN"/>
              </w:rPr>
              <w:t>、</w:t>
            </w:r>
            <w:r>
              <w:rPr>
                <w:rFonts w:hint="default" w:ascii="仿宋" w:hAnsi="仿宋" w:eastAsia="仿宋" w:cs="仿宋"/>
                <w:vertAlign w:val="baseline"/>
                <w:lang w:val="en-US" w:eastAsia="zh-CN"/>
              </w:rPr>
              <w:t>物业服务合同经旗县级物业行政主管部门备案。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专项维修资金制度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1、维修资金使用符合有关规定，无挪用、擅自扩大使用范围等违规行为；</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2、制定维修资金申请、使用相关制度，记录完整，维修资金使用情况及时向业主公布。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管理服务制度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1、人力资源管理制度；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2、财务管理制度；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3、档案管理制度；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4、员工培训学习制度；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5、客户服务管理制度；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6、房屋共用部位维修养护管理制度；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7、设施设备维修养护管理制度；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8、秩序维护管理制度；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9、环境清洁管理制度；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10、绿化管理制度；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11、收费管理制度；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12、节能环保管理制度；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13、安全生产管理制度；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14、品质管理制度。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档案</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1、物业管理服务各项档案实现动态管理；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2、业主信息档案实现动态管理；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3、档案分类规范，查阅方便；</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4、档案使用登记手续完备；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5、档案存放环境符合规定条件。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突发事件应急机制</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1、制定消防、电梯、给排水、供配电等共用设施设备事故应急预案；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2、制定自然灾害、公共卫生、治安、交通等方面突发事件的配合性应急预案；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3、应急预案定期演练，并有相应记录。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20" w:type="dxa"/>
            <w:vMerge w:val="restart"/>
            <w:vAlign w:val="center"/>
          </w:tcPr>
          <w:p>
            <w:pPr>
              <w:jc w:val="center"/>
              <w:rPr>
                <w:rFonts w:hint="eastAsia" w:ascii="仿宋" w:hAnsi="仿宋" w:eastAsia="仿宋" w:cs="仿宋"/>
                <w:vertAlign w:val="baseline"/>
                <w:lang w:eastAsia="zh-CN"/>
              </w:rPr>
            </w:pP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员工培训和企业形象</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1、建立企业员工培训体系，根据不同岗位特点制订并落实员工分类培训计划；</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default" w:ascii="仿宋" w:hAnsi="仿宋" w:eastAsia="仿宋" w:cs="仿宋"/>
                <w:vertAlign w:val="baseline"/>
                <w:lang w:val="en-US" w:eastAsia="zh-CN"/>
              </w:rPr>
            </w:pPr>
            <w:r>
              <w:rPr>
                <w:rFonts w:hint="eastAsia" w:ascii="宋体" w:hAnsi="宋体" w:eastAsia="仿宋_GB2312" w:cs="宋体"/>
                <w:color w:val="000000"/>
                <w:kern w:val="0"/>
                <w:szCs w:val="21"/>
              </w:rPr>
              <w:t>一项不符合扣</w:t>
            </w:r>
            <w:r>
              <w:rPr>
                <w:rFonts w:hint="eastAsia" w:ascii="宋体" w:hAnsi="宋体" w:eastAsia="仿宋_GB2312" w:cs="宋体"/>
                <w:color w:val="000000"/>
                <w:kern w:val="0"/>
                <w:szCs w:val="21"/>
                <w:lang w:val="en-US" w:eastAsia="zh-CN"/>
              </w:rPr>
              <w:t>0.4</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2、专业岗位操作人员按规定持有岗位证书（包括项目负责人、消防监控人员、电梯维修人员、高低压电工等）；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3、不同岗位服务人员分类统一着装，佩戴工作标志；</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4、服务人员态度热情耐心，举止文明礼貌，解答问题及时准确；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5、企业标识标牌体系完善，业主手册、服务指南等客户服务资料简明实用。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客户服务管理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1、设立物业服务中心，公示物业服务企业营业执照、服务内容和标准、收费标准、项目负责人照片及岗位能力评价证书、服务电话；</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879" w:type="dxa"/>
            <w:vMerge w:val="restart"/>
            <w:vAlign w:val="center"/>
          </w:tcPr>
          <w:p>
            <w:pPr>
              <w:jc w:val="both"/>
              <w:rPr>
                <w:rFonts w:hint="eastAsia" w:ascii="仿宋" w:hAnsi="仿宋" w:eastAsia="仿宋" w:cs="仿宋"/>
                <w:vertAlign w:val="baseline"/>
                <w:lang w:eastAsia="zh-CN"/>
              </w:rPr>
            </w:pPr>
            <w:r>
              <w:rPr>
                <w:rFonts w:hint="eastAsia" w:ascii="宋体" w:hAnsi="宋体" w:eastAsia="仿宋_GB2312" w:cs="宋体"/>
                <w:color w:val="000000"/>
                <w:kern w:val="0"/>
                <w:szCs w:val="21"/>
              </w:rPr>
              <w:t>一项不符合扣</w:t>
            </w:r>
            <w:r>
              <w:rPr>
                <w:rFonts w:hint="eastAsia" w:ascii="宋体" w:hAnsi="宋体" w:eastAsia="仿宋_GB2312"/>
                <w:color w:val="000000"/>
                <w:kern w:val="0"/>
                <w:szCs w:val="21"/>
              </w:rPr>
              <w:t>1</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2、公示电梯、水、电、气、暖等设施日常维修保养单位的名称、资质、联系方式及维护保养情况等；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3、有专人负责接待客户来访，24小时受理客户信息；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4、客服接待人员值班记录完整，客户服务信息处理记录完整，按月进行统计分析；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5、有客户回访制度和记录，投诉处理及时率100%，并按月进行统计分析；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6、物业服务收费明码标价，实行物业服务费酬金制的，每年不少于一次公布物业服务费用的收支情况；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7、利用共用部位、共用设施设备经营的，应当征得业主的同意，并定期公布收益情况。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精神文明和社区文化建设</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1、精神文明和社区文化建设有计划，有方案，有措施，有成效；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2、采用书面资料、宣传栏、网络等方式培养业主的公共道德意识和良好生活习惯；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3、每年开展二次以上的文体娱乐活动，营造和谐的社区氛围和工作氛围；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4、积极组织和参与社区志愿（公益）活动，开展社区精神文明建设。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沟通报告机制</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1、对住户违反治安、消防、环保、房屋装饰装修和使用等方面法律、法规规定的行为，及时进行劝阻，并向有关行政部门报告；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2、主动与物业所在地的物业行政主管部门、街道办事处（苏木乡镇人民政府）、公安派出所、居民委员会联络，共同协调解决物业管理中遇到的问题；</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3、协助业主大会筹备工作，建立与业主委员会定期沟通报告的工作例会制度，积极听取业主和业主委员会对物业服务的意见和建议，主动接受业主和业主委员会的监督。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二、房屋共用部位管理</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标识系统和维保资料</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1、主出入口设有小区平面示意图；</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2、管理区域内交通标志引导指示、安全警示、温馨提示规范清晰；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3、小区组团、栋、单元（门）、户门以及配套公建标识规范清晰；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4、建立房屋产权清册；</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5、房屋维修、保养记录完整；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6、房屋使用功能完备，无安全隐患。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共用部位使用管理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1、共用场地、部位符合规划要求，无违章搭建现象；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2、房屋共用部位使用符合建筑设计要求，无擅自改变用途现象。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房屋外观状况</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1、房屋外观完好、整洁，无破损、脱落、渗水、污迹、乱贴、乱涂、乱画、乱挂现象；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外墙清洗或粉刷按合同和计划组织实施、记录完整。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室外附加设施管理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1、室外招牌、广告牌、夜景灯等设施按规定办理报批，手续齐全，色彩风格统一；</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2、封闭阳台、外廊及户外防盗网、晾晒架、遮阳蓬安装符合建筑设计要求和管理规约约定，手续齐全，样式、规格、色调、材质统一；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3、空调、户外防盗网、晾晒架等安装牢固，管线整齐，美观大方，无安全隐患；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4、发现安全隐患，及时告知或劝阻业主及相关当事人，并采取相应防范措施。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装饰装修管理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1、按相关规定审核住户装修方案，签订装饰装修管理服务协议，明确禁止行为和注意事项，办理装修施工批准手续，每日巡视检查装修现场，发现违规行为制止并报告；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2、装修垃圾定点堆放，定时清运，装修验收手续完备，装修档案保存完整。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日常巡视、检查与管理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1、定期巡查屋面、单元门、楼梯、通道、窗户等共用部位，发现损坏，及时维修养护并做好记录；</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2、门窗无破损，楼梯、通道以及屋面无乱堆乱放现象，屋面防水性能良好。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三、共用设施设备运行、维修和养护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共用设施设备管理和运行状况</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1、设施设备专业管理人员配置合理，岗位责任明确；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2、建立设施设备总账、台账、设备卡，设施设备标识齐全、规范；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3、设施设备运行、维护、保养、检查应急管理等管理制度健全；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4、制定并实施年、季、月度设施设备维护、保养计划；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5、日常设施设备检修、巡视、保养、紧急情况处理等记录齐全；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6、制定并实施维修工具、备品、备件和化学品等存放和管理制度；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7、制定并实施专业外包合同全程监管制度；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8、操作人员熟练掌握、严格执行设施设备操作规程及保养规范。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室外共用管线、管道和道路管理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1、室外共用管线统一入地或入公共管道，整齐有序，无架空管线；</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2、排水排污管道通畅；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3、雨水井、化粪池定期巡检、疏通与清掏，无堵塞、外溢现象；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4、道路通畅，路面整洁平整，路面井盖无缺损、无丢失，井盖表面标志清晰。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设备机房管理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1、设备系统图（平面图）、操作规程、岗位责任制度、应急预案、特种作业人员资格证书等齐全，张贴于机房明显位置，人员进出、交接班管理制度完善，记录完整；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、设备管线标志清晰，仪器仪表运行正常、数据准确；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3、机房整洁、无渗漏、无积水、无杂物堆放，设备表面无积尘、无锈蚀，防鼠板、防鼠网材质、规格，防鼠药物投放等符合规范要求；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4、设备噪声符合规范要求，有环境要求的设备机房，温、湿度在规定范围内。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供电系统管理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1、管理制度与措施符合专业要求，执行严格，设备编号有序，运行、维修、保养、巡检记录完整；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2、受托管理高压供电设备的，变配电室安全警示牌配置齐全，检修检验和安全防护用具配置齐全，年检合格；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3、后备电源设备定期检测，能够随时启用；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4、公共照明正常，停电提前通知用户。</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弱电系统管理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1、系统设备配置齐全、运行正常、现场测试符合要求；</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2、系统及子系统运行、维修、保养、巡检计划周全、记录完整；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3、摄像监控图像清晰，按规定时间保存信息备查；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4、中央控制室管理实行24小时专人值班制度。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电梯系统管理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1、准用（合格）证、年检证明、紧急电话和乘客注意事项置于轿厢醒目位置；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2、电梯维修保养合同规范，维保单位的条件符合规定；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3、电梯机房通风、照明情况良好，配有平层标志线，专业工具齐全；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4、电梯轿厢、井道内保持清洁，轿厢广告设置有序，无乱贴、乱画；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5、电梯运行平稳，维修、保养、检修记录完整；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6、电梯按合同约定时间运行，出现故障或险情，维修人员接到报修后在规定时间内到达现场。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rPr>
              <w:t>给排水系统管理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1、二次供水水质定期检测，符合卫生标准；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2、给排水设备完好、运行正常，日检查和月、季、年保养制度完善，限水、停水及时通知；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3、水箱加盖上锁，周边无污染源，定期清洗、消毒，检查记录完整；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4、水泵、阀门、管网等设备名称、流向、运行状态标志清晰，无锈蚀、无跑冒滴漏、无污染。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1、消防设施设置平面图、火警疏散示意图按幢设置在楼层明显位置；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2、消防监测系统运行良好，自动和手动报警设施启动正常；</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3、消火栓柜、防火卷帘、防火门、灭火器、疏散指示灯、应急灯及应急工具等消防设施设备完好，并定期组织检验、保养；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4、消防水泵、管网、闸门等设备运行正常，测试、维修、保养记录完整；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5、安全疏散通道畅通，疏散标志和示意图设置合理、醒目；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6、区域消防通道畅通，无杂物堆放，无违章占用。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避雷系统管理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1、配置避雷设施位置平面图；</w:t>
            </w:r>
          </w:p>
        </w:tc>
        <w:tc>
          <w:tcPr>
            <w:tcW w:w="653"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2、避雷设施定期检查、维护，记录完整。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四、公共秩序维护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秩序维护管理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1、实行封闭式管理的小区，对外来人员、车辆和物品进出实行管理；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2、监控设施和门禁系统运行良好，监控记录保存符合规定要求；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3、安全监控室及主出入口实行24小时值班；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4、秩序维护人员配置合理，岗位责任明确；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5、安全标志设置合理，对可能危及人身安全的地点和设施设备，有明显警示标志和防范措施。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交通秩序管理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1、公示停车位（库）管理规定、紧急联系电话等；</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2、停车场、停车位标志规范、清晰，车辆行驶路线设置合理、路线清晰；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3、固定停放车辆签订停车服务协议，明确相关权利义务；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4、临时车辆进出登记及时，记录完整；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5、车辆进出道闸、停车设施运行良好，维修养护及时；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6、机动、非机动车辆停放有序</w:t>
            </w:r>
            <w:r>
              <w:rPr>
                <w:rFonts w:hint="eastAsia" w:ascii="仿宋" w:hAnsi="仿宋" w:eastAsia="仿宋" w:cs="仿宋"/>
                <w:vertAlign w:val="baseline"/>
                <w:lang w:val="en-US" w:eastAsia="zh-CN"/>
              </w:rPr>
              <w:t>,</w:t>
            </w:r>
            <w:r>
              <w:rPr>
                <w:rFonts w:hint="eastAsia" w:ascii="仿宋" w:hAnsi="仿宋" w:eastAsia="仿宋" w:cs="仿宋"/>
                <w:vertAlign w:val="baseline"/>
                <w:lang w:eastAsia="zh-CN"/>
              </w:rPr>
              <w:t>无乱停乱放现象、无私拉乱扯充电现象；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7、停车场、库定时巡视检查，高峰时进行车辆秩序引导；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8、发现交通堵塞及时疏导，发生交通事故及时报告有关部门。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消防安全管理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1、制定消防安全制度，消防安全操作规程；</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2、实行防火安全责任制，明确消防安全责任人；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3、消防中控室实行24小时专人值班制度，值班记录完整；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4、消防安全定期巡视检查，消防安全隐患及时整改；</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5、定期开展消防安全宣传，进行消防知识培训；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6、消防演练每年不少于两次，积极动员业主参与。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五、环境管理服务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18</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保洁</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1、保洁人员配置合理，责任区域明确；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2、制定并严格执行保洁用品、范围、流程、频次、效果及评价等服务标准；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3、垃圾实行分类管理，引导业主垃圾分类处理，生活垃圾日产日清；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4、保洁设施设备配置合理，工具台账完善；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5、定期对保洁设施设备及公共区域进行卫生消毒；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6、管理区域内道路、绿地、停车场、文体活动区域等共用场地无纸屑、烟头、塑料袋等废弃物；</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7、房屋共用部位及共用设施设备保持清洁；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8、及时清理公共场地、道路的积雪、积水；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9、防治鼠害、虫害等有计划，有措施，有记录；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10、对公共区域宠物活动实施有效管理。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绿化养护管理</w:t>
            </w: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1、绿化养护人员配置合理，责任区域明确；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2、制定并落实绿化养护计划；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3、绿化图纸、苗木清单等资料齐全，设备、工具台帐完善；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4、醒目处设置爱护绿化提示标志，重点树木品种实行标牌管理；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5、定期组织浇灌、施肥、松土和喷药，提前做好防涝和防冻工作；</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6、绿化作业安全防护措施得当；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7、各类乔、灌、草等植物长势良好，修剪整齐美观，无折损，无病虫害、斑秃现象；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8、绿地无破坏、践踏、占用现象，树木无悬挂物及晾晒物品。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六、创新、效益与业主评价</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创新</w:t>
            </w: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1、建立并运行计算机辅助管理系统，运用社区网络、智能技术等信息化手段及其最新科技成果开展管理服务工作；</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2、建立并运行服务质量管理控制系统，运用先进管理工具实施物业服务全过程管控；</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3、制定并实施节能减排计划和方案，运用技术改造和管理创新等手段节约公用能源资源消耗，减少污染物排放；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4、建立并推行新型商业模式，通过提供物业资产经营管理服务和住户生活配套服务等方式，满足业主的个性化需求。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经营</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效益</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1、业主交费主动及时，收费率达95%以上；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2、项目两个年度以上持续盈利，经营状况良好。</w:t>
            </w:r>
          </w:p>
        </w:tc>
        <w:tc>
          <w:tcPr>
            <w:tcW w:w="653" w:type="dxa"/>
            <w:vMerge w:val="continue"/>
            <w:vAlign w:val="center"/>
          </w:tcPr>
          <w:p>
            <w:pPr>
              <w:jc w:val="center"/>
              <w:rPr>
                <w:rFonts w:hint="default"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业主</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满意</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1、每年至少开展</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次业主满意率调查，调查覆盖率不低于</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0%，具备条件的，可邀请第三方机构开展业主满意度测评；</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2、业主满意率应达95%以上；</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3、满意率调查和满意度测评的内容应涵盖本标准的内容及物业服务合同的约定；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4、调查和测评结果有书面报告并向业主公示，调查和测评发现的问题持续改进，改进结果向业主公示。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bl>
    <w:p>
      <w:pPr>
        <w:rPr>
          <w:rFonts w:hint="eastAsia"/>
          <w:lang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81316"/>
    <w:rsid w:val="045374AB"/>
    <w:rsid w:val="36481316"/>
    <w:rsid w:val="44A50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2020-05-09T10:12:00Z</dcterms:created>
  <dc:creator>黄磊</dc:creator>
  <cp:lastModifiedBy>黄磊</cp:lastModifiedBy>
  <dcterms:modified xsi:type="dcterms:W3CDTF">2020-05-14T06:37:06Z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